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9AEB" w14:textId="77777777" w:rsidR="00CE002E" w:rsidRPr="00CE002E" w:rsidRDefault="003A2D96" w:rsidP="00CE002E">
      <w:pPr>
        <w:rPr>
          <w:rFonts w:ascii="Aptos" w:eastAsia="Aptos" w:hAnsi="Aptos" w:cs="Aptos"/>
          <w:kern w:val="0"/>
        </w:rPr>
      </w:pPr>
      <w:r>
        <w:t xml:space="preserve">2027 aasta muudatused KOV </w:t>
      </w:r>
      <w:proofErr w:type="spellStart"/>
      <w:r>
        <w:t>tulubaas</w:t>
      </w:r>
      <w:r w:rsidR="00CE002E" w:rsidRPr="00CE002E">
        <w:rPr>
          <w:rFonts w:ascii="Aptos" w:eastAsia="Aptos" w:hAnsi="Aptos" w:cs="Aptos"/>
          <w:kern w:val="0"/>
        </w:rPr>
        <w:t>Regionaal</w:t>
      </w:r>
      <w:proofErr w:type="spellEnd"/>
      <w:r w:rsidR="00CE002E" w:rsidRPr="00CE002E">
        <w:rPr>
          <w:rFonts w:ascii="Aptos" w:eastAsia="Aptos" w:hAnsi="Aptos" w:cs="Aptos"/>
          <w:kern w:val="0"/>
        </w:rPr>
        <w:t xml:space="preserve">- ja põllumajandusministeerium on esitanud kooskõlastamiseks </w:t>
      </w:r>
      <w:r w:rsidR="00CE002E" w:rsidRPr="00CE002E">
        <w:rPr>
          <w:rFonts w:ascii="Aptos" w:eastAsia="Aptos" w:hAnsi="Aptos" w:cs="Aptos"/>
          <w:b/>
          <w:bCs/>
          <w:kern w:val="0"/>
        </w:rPr>
        <w:t>põhikooli- ja gümnaasiumiseaduse muutmise ja sellega seonduvalt teiste seaduste muutmise seaduse eelnõu (toetuste tõstmine kohaliku omavalitsuse üksuste tulubaasi)</w:t>
      </w:r>
      <w:r w:rsidR="00CE002E" w:rsidRPr="00CE002E">
        <w:rPr>
          <w:rFonts w:ascii="Aptos" w:eastAsia="Aptos" w:hAnsi="Aptos" w:cs="Aptos"/>
          <w:kern w:val="0"/>
        </w:rPr>
        <w:t xml:space="preserve"> eelnõu.</w:t>
      </w:r>
    </w:p>
    <w:p w14:paraId="680A0C33"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Tegemist on ühe olulisema </w:t>
      </w:r>
      <w:proofErr w:type="spellStart"/>
      <w:r w:rsidRPr="00CE002E">
        <w:rPr>
          <w:rFonts w:ascii="Aptos" w:eastAsia="Aptos" w:hAnsi="Aptos" w:cs="Aptos"/>
          <w:kern w:val="0"/>
        </w:rPr>
        <w:t>KOV-e</w:t>
      </w:r>
      <w:proofErr w:type="spellEnd"/>
      <w:r w:rsidRPr="00CE002E">
        <w:rPr>
          <w:rFonts w:ascii="Aptos" w:eastAsia="Aptos" w:hAnsi="Aptos" w:cs="Aptos"/>
          <w:kern w:val="0"/>
        </w:rPr>
        <w:t xml:space="preserve"> puudutava reformiga peale haldusreformi ja selle õnnestumisel on see märgilise tähtsusega Eesti </w:t>
      </w:r>
      <w:proofErr w:type="spellStart"/>
      <w:r w:rsidRPr="00CE002E">
        <w:rPr>
          <w:rFonts w:ascii="Aptos" w:eastAsia="Aptos" w:hAnsi="Aptos" w:cs="Aptos"/>
          <w:kern w:val="0"/>
        </w:rPr>
        <w:t>KOV-ide</w:t>
      </w:r>
      <w:proofErr w:type="spellEnd"/>
      <w:r w:rsidRPr="00CE002E">
        <w:rPr>
          <w:rFonts w:ascii="Aptos" w:eastAsia="Aptos" w:hAnsi="Aptos" w:cs="Aptos"/>
          <w:kern w:val="0"/>
        </w:rPr>
        <w:t xml:space="preserve"> rahastamise pikaajalise jätkusuutlikkuse osas.</w:t>
      </w:r>
    </w:p>
    <w:p w14:paraId="5C314B0D" w14:textId="77777777" w:rsidR="00CE002E" w:rsidRPr="00CE002E" w:rsidRDefault="00CE002E" w:rsidP="00CE002E">
      <w:pPr>
        <w:spacing w:after="0" w:line="240" w:lineRule="auto"/>
        <w:rPr>
          <w:rFonts w:ascii="Aptos" w:eastAsia="Aptos" w:hAnsi="Aptos" w:cs="Aptos"/>
          <w:kern w:val="0"/>
        </w:rPr>
      </w:pPr>
    </w:p>
    <w:p w14:paraId="6A19299B" w14:textId="77777777" w:rsidR="00CE002E" w:rsidRPr="00CE002E" w:rsidRDefault="00CE002E" w:rsidP="00CE002E">
      <w:pPr>
        <w:spacing w:after="0" w:line="240" w:lineRule="auto"/>
        <w:rPr>
          <w:rFonts w:ascii="Aptos" w:eastAsia="Aptos" w:hAnsi="Aptos" w:cs="Aptos"/>
          <w:b/>
          <w:bCs/>
          <w:kern w:val="0"/>
        </w:rPr>
      </w:pPr>
      <w:r w:rsidRPr="00CE002E">
        <w:rPr>
          <w:rFonts w:ascii="Aptos" w:eastAsia="Aptos" w:hAnsi="Aptos" w:cs="Aptos"/>
          <w:b/>
          <w:bCs/>
          <w:kern w:val="0"/>
        </w:rPr>
        <w:t>Eelnõu eesmärk</w:t>
      </w:r>
    </w:p>
    <w:p w14:paraId="625E111F"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Eelnõus toodud muudatustega jäetakse seadustest välja seniste riigi sihtotstarbeliste toetuste regulatsioon. St eelnõuga kavandatavate muudatustega tõstetakse riigieelarves ette nähtud:</w:t>
      </w:r>
    </w:p>
    <w:p w14:paraId="4DC3CF17" w14:textId="77777777" w:rsidR="00CE002E" w:rsidRPr="00CE002E" w:rsidRDefault="00CE002E" w:rsidP="00CE002E">
      <w:pPr>
        <w:numPr>
          <w:ilvl w:val="0"/>
          <w:numId w:val="1"/>
        </w:numPr>
        <w:spacing w:after="0" w:line="240" w:lineRule="auto"/>
        <w:rPr>
          <w:rFonts w:ascii="Aptos" w:eastAsia="Times New Roman" w:hAnsi="Aptos" w:cs="Aptos"/>
          <w:kern w:val="0"/>
        </w:rPr>
      </w:pPr>
      <w:r w:rsidRPr="00CE002E">
        <w:rPr>
          <w:rFonts w:ascii="Aptos" w:eastAsia="Times New Roman" w:hAnsi="Aptos" w:cs="Aptos"/>
          <w:kern w:val="0"/>
        </w:rPr>
        <w:t>põhihariduse andmiseks antud toetused (v.a õpetaja tööjõukulude toetus ja kultuuriranits),</w:t>
      </w:r>
    </w:p>
    <w:p w14:paraId="6BEC96B8" w14:textId="77777777" w:rsidR="00CE002E" w:rsidRPr="00CE002E" w:rsidRDefault="00CE002E" w:rsidP="00CE002E">
      <w:pPr>
        <w:numPr>
          <w:ilvl w:val="0"/>
          <w:numId w:val="1"/>
        </w:numPr>
        <w:spacing w:after="0" w:line="240" w:lineRule="auto"/>
        <w:rPr>
          <w:rFonts w:ascii="Aptos" w:eastAsia="Times New Roman" w:hAnsi="Aptos" w:cs="Aptos"/>
          <w:kern w:val="0"/>
        </w:rPr>
      </w:pPr>
      <w:r w:rsidRPr="00CE002E">
        <w:rPr>
          <w:rFonts w:ascii="Aptos" w:eastAsia="Times New Roman" w:hAnsi="Aptos" w:cs="Aptos"/>
          <w:kern w:val="0"/>
        </w:rPr>
        <w:t>huvitegevuse ja -hariduse toetus,</w:t>
      </w:r>
    </w:p>
    <w:p w14:paraId="6E5F0A3A" w14:textId="77777777" w:rsidR="00CE002E" w:rsidRPr="00CE002E" w:rsidRDefault="00CE002E" w:rsidP="00CE002E">
      <w:pPr>
        <w:numPr>
          <w:ilvl w:val="0"/>
          <w:numId w:val="1"/>
        </w:numPr>
        <w:spacing w:after="0" w:line="240" w:lineRule="auto"/>
        <w:rPr>
          <w:rFonts w:ascii="Aptos" w:eastAsia="Times New Roman" w:hAnsi="Aptos" w:cs="Aptos"/>
          <w:kern w:val="0"/>
        </w:rPr>
      </w:pPr>
      <w:r w:rsidRPr="00CE002E">
        <w:rPr>
          <w:rFonts w:ascii="Aptos" w:eastAsia="Times New Roman" w:hAnsi="Aptos" w:cs="Aptos"/>
          <w:kern w:val="0"/>
        </w:rPr>
        <w:t>õpilaskodu toetus,</w:t>
      </w:r>
    </w:p>
    <w:p w14:paraId="4F1836CD" w14:textId="77777777" w:rsidR="00CE002E" w:rsidRPr="00CE002E" w:rsidRDefault="00CE002E" w:rsidP="00CE002E">
      <w:pPr>
        <w:numPr>
          <w:ilvl w:val="0"/>
          <w:numId w:val="1"/>
        </w:numPr>
        <w:spacing w:after="0" w:line="240" w:lineRule="auto"/>
        <w:rPr>
          <w:rFonts w:ascii="Aptos" w:eastAsia="Times New Roman" w:hAnsi="Aptos" w:cs="Aptos"/>
          <w:kern w:val="0"/>
        </w:rPr>
      </w:pPr>
      <w:r w:rsidRPr="00CE002E">
        <w:rPr>
          <w:rFonts w:ascii="Aptos" w:eastAsia="Times New Roman" w:hAnsi="Aptos" w:cs="Aptos"/>
          <w:kern w:val="0"/>
        </w:rPr>
        <w:t>suure hooldus- ja abivajadusega lapsele abi osutamise toetus ja</w:t>
      </w:r>
    </w:p>
    <w:p w14:paraId="6EFB2751" w14:textId="77777777" w:rsidR="00CE002E" w:rsidRPr="00CE002E" w:rsidRDefault="00CE002E" w:rsidP="00CE002E">
      <w:pPr>
        <w:numPr>
          <w:ilvl w:val="0"/>
          <w:numId w:val="1"/>
        </w:numPr>
        <w:spacing w:after="0" w:line="240" w:lineRule="auto"/>
        <w:rPr>
          <w:rFonts w:ascii="Aptos" w:eastAsia="Times New Roman" w:hAnsi="Aptos" w:cs="Aptos"/>
          <w:kern w:val="0"/>
        </w:rPr>
      </w:pPr>
      <w:r w:rsidRPr="00CE002E">
        <w:rPr>
          <w:rFonts w:ascii="Aptos" w:eastAsia="Times New Roman" w:hAnsi="Aptos" w:cs="Aptos"/>
          <w:kern w:val="0"/>
        </w:rPr>
        <w:t>kohalike teede hoiu toetus</w:t>
      </w:r>
    </w:p>
    <w:p w14:paraId="34204E41" w14:textId="77777777" w:rsidR="00CE002E" w:rsidRPr="00CE002E" w:rsidRDefault="00CE002E" w:rsidP="00CE002E">
      <w:pPr>
        <w:spacing w:after="0" w:line="240" w:lineRule="auto"/>
        <w:rPr>
          <w:rFonts w:ascii="Aptos" w:eastAsia="Aptos" w:hAnsi="Aptos" w:cs="Aptos"/>
          <w:kern w:val="0"/>
        </w:rPr>
      </w:pPr>
      <w:proofErr w:type="spellStart"/>
      <w:r w:rsidRPr="00CE002E">
        <w:rPr>
          <w:rFonts w:ascii="Aptos" w:eastAsia="Aptos" w:hAnsi="Aptos" w:cs="Aptos"/>
          <w:kern w:val="0"/>
        </w:rPr>
        <w:t>KOVi</w:t>
      </w:r>
      <w:proofErr w:type="spellEnd"/>
      <w:r w:rsidRPr="00CE002E">
        <w:rPr>
          <w:rFonts w:ascii="Aptos" w:eastAsia="Aptos" w:hAnsi="Aptos" w:cs="Aptos"/>
          <w:kern w:val="0"/>
        </w:rPr>
        <w:t xml:space="preserve"> tulubaasi ehk jaotatakse läbi nende tulumaksu ja tasandusfondi laekumise suurendamise. Tulubaasi üle tõstetavate toetuste kogumaht on 121,6 miljonit eurot.</w:t>
      </w:r>
    </w:p>
    <w:p w14:paraId="5666E8F5" w14:textId="77777777" w:rsidR="00CE002E" w:rsidRPr="00CE002E" w:rsidRDefault="00CE002E" w:rsidP="00CE002E">
      <w:pPr>
        <w:spacing w:after="0" w:line="240" w:lineRule="auto"/>
        <w:rPr>
          <w:rFonts w:ascii="Aptos" w:eastAsia="Aptos" w:hAnsi="Aptos" w:cs="Aptos"/>
          <w:kern w:val="0"/>
        </w:rPr>
      </w:pPr>
    </w:p>
    <w:p w14:paraId="4503D492" w14:textId="77777777" w:rsidR="00CE002E" w:rsidRPr="00CE002E" w:rsidRDefault="00CE002E" w:rsidP="00CE002E">
      <w:pPr>
        <w:numPr>
          <w:ilvl w:val="0"/>
          <w:numId w:val="2"/>
        </w:numPr>
        <w:spacing w:after="0" w:line="240" w:lineRule="auto"/>
        <w:rPr>
          <w:rFonts w:ascii="Aptos" w:eastAsia="Times New Roman" w:hAnsi="Aptos" w:cs="Aptos"/>
          <w:kern w:val="0"/>
        </w:rPr>
      </w:pPr>
      <w:r w:rsidRPr="00CE002E">
        <w:rPr>
          <w:rFonts w:ascii="Aptos" w:eastAsia="Times New Roman" w:hAnsi="Aptos" w:cs="Aptos"/>
          <w:b/>
          <w:bCs/>
          <w:kern w:val="0"/>
        </w:rPr>
        <w:t>Õppevahendite</w:t>
      </w:r>
      <w:r w:rsidRPr="00CE002E">
        <w:rPr>
          <w:rFonts w:ascii="Aptos" w:eastAsia="Times New Roman" w:hAnsi="Aptos" w:cs="Aptos"/>
          <w:kern w:val="0"/>
        </w:rPr>
        <w:t xml:space="preserve"> toetus on püsinud tasemel 57 eurot õpilase kohta aastast 2011.</w:t>
      </w:r>
    </w:p>
    <w:p w14:paraId="3EFECF83" w14:textId="77777777" w:rsidR="00CE002E" w:rsidRPr="00CE002E" w:rsidRDefault="00CE002E" w:rsidP="00CE002E">
      <w:pPr>
        <w:numPr>
          <w:ilvl w:val="0"/>
          <w:numId w:val="2"/>
        </w:numPr>
        <w:spacing w:after="0" w:line="240" w:lineRule="auto"/>
        <w:rPr>
          <w:rFonts w:ascii="Aptos" w:eastAsia="Times New Roman" w:hAnsi="Aptos" w:cs="Aptos"/>
          <w:kern w:val="0"/>
        </w:rPr>
      </w:pPr>
      <w:r w:rsidRPr="00CE002E">
        <w:rPr>
          <w:rFonts w:ascii="Aptos" w:eastAsia="Times New Roman" w:hAnsi="Aptos" w:cs="Aptos"/>
          <w:b/>
          <w:bCs/>
          <w:kern w:val="0"/>
        </w:rPr>
        <w:t>Täiendkoolituse toetust ja juhtimiskulude toetust</w:t>
      </w:r>
      <w:r w:rsidRPr="00CE002E">
        <w:rPr>
          <w:rFonts w:ascii="Aptos" w:eastAsia="Times New Roman" w:hAnsi="Aptos" w:cs="Aptos"/>
          <w:kern w:val="0"/>
        </w:rPr>
        <w:t xml:space="preserve"> vähendati 2013. aastal ja need on püsinud tasemel vastavalt 12 eurot ja 92 eurot õpilase kohta sellest ajast peale.</w:t>
      </w:r>
    </w:p>
    <w:p w14:paraId="506BB2B3" w14:textId="77777777" w:rsidR="00CE002E" w:rsidRPr="00CE002E" w:rsidRDefault="00CE002E" w:rsidP="00CE002E">
      <w:pPr>
        <w:numPr>
          <w:ilvl w:val="0"/>
          <w:numId w:val="2"/>
        </w:numPr>
        <w:spacing w:after="0" w:line="240" w:lineRule="auto"/>
        <w:rPr>
          <w:rFonts w:ascii="Aptos" w:eastAsia="Times New Roman" w:hAnsi="Aptos" w:cs="Aptos"/>
          <w:kern w:val="0"/>
        </w:rPr>
      </w:pPr>
      <w:r w:rsidRPr="00CE002E">
        <w:rPr>
          <w:rFonts w:ascii="Aptos" w:eastAsia="Times New Roman" w:hAnsi="Aptos" w:cs="Aptos"/>
          <w:b/>
          <w:bCs/>
          <w:kern w:val="0"/>
        </w:rPr>
        <w:t>Koolilõuna toetust</w:t>
      </w:r>
      <w:r w:rsidRPr="00CE002E">
        <w:rPr>
          <w:rFonts w:ascii="Aptos" w:eastAsia="Times New Roman" w:hAnsi="Aptos" w:cs="Aptos"/>
          <w:kern w:val="0"/>
        </w:rPr>
        <w:t xml:space="preserve"> on suurendatud 0,78 eurolt 1,0 eurole päevas 2018. aastal. </w:t>
      </w:r>
      <w:r w:rsidRPr="00CE002E">
        <w:rPr>
          <w:rFonts w:ascii="Aptos" w:eastAsia="Times New Roman" w:hAnsi="Aptos" w:cs="Aptos"/>
          <w:b/>
          <w:bCs/>
          <w:kern w:val="0"/>
        </w:rPr>
        <w:t>Huvitegevuse ja -hariduse toetuse</w:t>
      </w:r>
      <w:r w:rsidRPr="00CE002E">
        <w:rPr>
          <w:rFonts w:ascii="Aptos" w:eastAsia="Times New Roman" w:hAnsi="Aptos" w:cs="Aptos"/>
          <w:kern w:val="0"/>
        </w:rPr>
        <w:t xml:space="preserve"> maht oli algselt 14,25 miljonit eurot, kuid on tänaseks kahe kärpe tulemusena vähenenud 9,25 miljonile eurole.</w:t>
      </w:r>
    </w:p>
    <w:p w14:paraId="4EB35C43" w14:textId="77777777" w:rsidR="00CE002E" w:rsidRPr="00CE002E" w:rsidRDefault="00CE002E" w:rsidP="00CE002E">
      <w:pPr>
        <w:numPr>
          <w:ilvl w:val="0"/>
          <w:numId w:val="2"/>
        </w:numPr>
        <w:spacing w:after="0" w:line="240" w:lineRule="auto"/>
        <w:rPr>
          <w:rFonts w:ascii="Aptos" w:eastAsia="Times New Roman" w:hAnsi="Aptos" w:cs="Aptos"/>
          <w:kern w:val="0"/>
        </w:rPr>
      </w:pPr>
      <w:r w:rsidRPr="00CE002E">
        <w:rPr>
          <w:rFonts w:ascii="Aptos" w:eastAsia="Times New Roman" w:hAnsi="Aptos" w:cs="Aptos"/>
          <w:kern w:val="0"/>
        </w:rPr>
        <w:t xml:space="preserve">Üksnes </w:t>
      </w:r>
      <w:r w:rsidRPr="00CE002E">
        <w:rPr>
          <w:rFonts w:ascii="Aptos" w:eastAsia="Times New Roman" w:hAnsi="Aptos" w:cs="Aptos"/>
          <w:b/>
          <w:bCs/>
          <w:kern w:val="0"/>
        </w:rPr>
        <w:t xml:space="preserve">tõhustatud toe või </w:t>
      </w:r>
      <w:proofErr w:type="spellStart"/>
      <w:r w:rsidRPr="00CE002E">
        <w:rPr>
          <w:rFonts w:ascii="Aptos" w:eastAsia="Times New Roman" w:hAnsi="Aptos" w:cs="Aptos"/>
          <w:b/>
          <w:bCs/>
          <w:kern w:val="0"/>
        </w:rPr>
        <w:t>eritoe</w:t>
      </w:r>
      <w:proofErr w:type="spellEnd"/>
      <w:r w:rsidRPr="00CE002E">
        <w:rPr>
          <w:rFonts w:ascii="Aptos" w:eastAsia="Times New Roman" w:hAnsi="Aptos" w:cs="Aptos"/>
          <w:b/>
          <w:bCs/>
          <w:kern w:val="0"/>
        </w:rPr>
        <w:t xml:space="preserve"> rakendamiseks antav tegevuskulutoetuse</w:t>
      </w:r>
      <w:r w:rsidRPr="00CE002E">
        <w:rPr>
          <w:rFonts w:ascii="Aptos" w:eastAsia="Times New Roman" w:hAnsi="Aptos" w:cs="Aptos"/>
          <w:kern w:val="0"/>
        </w:rPr>
        <w:t xml:space="preserve"> määr on iga-aastaselt kasvanud (lähtub </w:t>
      </w:r>
      <w:proofErr w:type="spellStart"/>
      <w:r w:rsidRPr="00CE002E">
        <w:rPr>
          <w:rFonts w:ascii="Aptos" w:eastAsia="Times New Roman" w:hAnsi="Aptos" w:cs="Aptos"/>
          <w:kern w:val="0"/>
        </w:rPr>
        <w:t>KOV-ide</w:t>
      </w:r>
      <w:proofErr w:type="spellEnd"/>
      <w:r w:rsidRPr="00CE002E">
        <w:rPr>
          <w:rFonts w:ascii="Aptos" w:eastAsia="Times New Roman" w:hAnsi="Aptos" w:cs="Aptos"/>
          <w:kern w:val="0"/>
        </w:rPr>
        <w:t xml:space="preserve"> keskmisest kulust koolidele).</w:t>
      </w:r>
    </w:p>
    <w:p w14:paraId="51E74B02" w14:textId="77777777" w:rsidR="00CE002E" w:rsidRPr="00CE002E" w:rsidRDefault="00CE002E" w:rsidP="00CE002E">
      <w:pPr>
        <w:numPr>
          <w:ilvl w:val="0"/>
          <w:numId w:val="2"/>
        </w:numPr>
        <w:spacing w:after="0" w:line="240" w:lineRule="auto"/>
        <w:rPr>
          <w:rFonts w:ascii="Aptos" w:eastAsia="Times New Roman" w:hAnsi="Aptos" w:cs="Aptos"/>
          <w:kern w:val="0"/>
        </w:rPr>
      </w:pPr>
      <w:r w:rsidRPr="00CE002E">
        <w:rPr>
          <w:rFonts w:ascii="Aptos" w:eastAsia="Times New Roman" w:hAnsi="Aptos" w:cs="Aptos"/>
          <w:b/>
          <w:bCs/>
          <w:kern w:val="0"/>
        </w:rPr>
        <w:t>Suure hooldus- ja abivajadusega lapsele abi osutamise toetuse</w:t>
      </w:r>
      <w:r w:rsidRPr="00CE002E">
        <w:rPr>
          <w:rFonts w:ascii="Aptos" w:eastAsia="Times New Roman" w:hAnsi="Aptos" w:cs="Aptos"/>
          <w:kern w:val="0"/>
        </w:rPr>
        <w:t xml:space="preserve"> maht ei ole muutunud selle toetusfondis loomisest alates 2017. aastal.</w:t>
      </w:r>
    </w:p>
    <w:p w14:paraId="31356F4F" w14:textId="77777777" w:rsidR="00CE002E" w:rsidRPr="00CE002E" w:rsidRDefault="00CE002E" w:rsidP="00CE002E">
      <w:pPr>
        <w:numPr>
          <w:ilvl w:val="0"/>
          <w:numId w:val="2"/>
        </w:numPr>
        <w:spacing w:after="0" w:line="240" w:lineRule="auto"/>
        <w:rPr>
          <w:rFonts w:ascii="Aptos" w:eastAsia="Times New Roman" w:hAnsi="Aptos" w:cs="Aptos"/>
          <w:kern w:val="0"/>
        </w:rPr>
      </w:pPr>
      <w:r w:rsidRPr="00CE002E">
        <w:rPr>
          <w:rFonts w:ascii="Aptos" w:eastAsia="Times New Roman" w:hAnsi="Aptos" w:cs="Aptos"/>
          <w:b/>
          <w:bCs/>
          <w:kern w:val="0"/>
        </w:rPr>
        <w:t>Kohalike teede hoiu toetus</w:t>
      </w:r>
      <w:r w:rsidRPr="00CE002E">
        <w:rPr>
          <w:rFonts w:ascii="Aptos" w:eastAsia="Times New Roman" w:hAnsi="Aptos" w:cs="Aptos"/>
          <w:kern w:val="0"/>
        </w:rPr>
        <w:t xml:space="preserve"> on püsinud 29,3 miljoni euro tasemel aastast 2013 (ja on 30% väiksem kui aastal 2008 ning võrdne 2007. aasta tasemega).</w:t>
      </w:r>
    </w:p>
    <w:p w14:paraId="69FBEC88" w14:textId="77777777" w:rsidR="00CE002E" w:rsidRPr="00CE002E" w:rsidRDefault="00CE002E" w:rsidP="00CE002E">
      <w:pPr>
        <w:spacing w:after="0" w:line="240" w:lineRule="auto"/>
        <w:rPr>
          <w:rFonts w:ascii="Aptos" w:eastAsia="Aptos" w:hAnsi="Aptos" w:cs="Aptos"/>
          <w:kern w:val="0"/>
        </w:rPr>
      </w:pPr>
    </w:p>
    <w:p w14:paraId="00AE1E83"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Kui toetuse maht on ka jäänud aastateks samaks, siis selle reaalne ostujõud on ajas siiski kahanenud. Inflatsioon on näiteks viimasel kümnel aastal (2016–2025) olnud 61%. ELVL on jätkuvalt seisukohal, et kavandatav reform ei tohi jätta ühtegi omavalitsust eelarve tulude mõistes negatiivsesse seisu üleminekuperioodil (täiendavad vahendid riigieelarvest summas 3,3 mln eurot). Seda eelkõige põhjusel, et eelpool viidatud toetuste tasemed on niigi ajale oluliselt jalgu jäänud.</w:t>
      </w:r>
    </w:p>
    <w:p w14:paraId="32D539CB"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highlight w:val="yellow"/>
        </w:rPr>
        <w:t xml:space="preserve">Toetuste tulubaasi tõstmiseks suurendatakse käesoleva eelnõuga </w:t>
      </w:r>
      <w:proofErr w:type="spellStart"/>
      <w:r w:rsidRPr="00CE002E">
        <w:rPr>
          <w:rFonts w:ascii="Aptos" w:eastAsia="Aptos" w:hAnsi="Aptos" w:cs="Aptos"/>
          <w:kern w:val="0"/>
          <w:highlight w:val="yellow"/>
        </w:rPr>
        <w:t>KOV-ide</w:t>
      </w:r>
      <w:proofErr w:type="spellEnd"/>
      <w:r w:rsidRPr="00CE002E">
        <w:rPr>
          <w:rFonts w:ascii="Aptos" w:eastAsia="Aptos" w:hAnsi="Aptos" w:cs="Aptos"/>
          <w:kern w:val="0"/>
          <w:highlight w:val="yellow"/>
        </w:rPr>
        <w:t xml:space="preserve"> tulumaksu määra 2027. aastast 0,35 protsendipunkti võrra ning ülejäänud vahendid suunatakse tasandusfondi.</w:t>
      </w:r>
      <w:r w:rsidRPr="00CE002E">
        <w:rPr>
          <w:rFonts w:ascii="Aptos" w:eastAsia="Aptos" w:hAnsi="Aptos" w:cs="Aptos"/>
          <w:kern w:val="0"/>
        </w:rPr>
        <w:t xml:space="preserve"> Lisaks luuakse kompensatsioonimehhanism tagamaks, et ühelgi </w:t>
      </w:r>
      <w:proofErr w:type="spellStart"/>
      <w:r w:rsidRPr="00CE002E">
        <w:rPr>
          <w:rFonts w:ascii="Aptos" w:eastAsia="Aptos" w:hAnsi="Aptos" w:cs="Aptos"/>
          <w:kern w:val="0"/>
        </w:rPr>
        <w:t>KOV-il</w:t>
      </w:r>
      <w:proofErr w:type="spellEnd"/>
      <w:r w:rsidRPr="00CE002E">
        <w:rPr>
          <w:rFonts w:ascii="Aptos" w:eastAsia="Aptos" w:hAnsi="Aptos" w:cs="Aptos"/>
          <w:kern w:val="0"/>
        </w:rPr>
        <w:t xml:space="preserve"> ei väheneks laekumine toetuste üleandmise tulemusena 2027. aastal rohkem kui 0,1% tulubaasist ning muutus ei oleks negatiivne perioodil 2028–2038. Seega </w:t>
      </w:r>
      <w:r w:rsidRPr="00CE002E">
        <w:rPr>
          <w:rFonts w:ascii="Aptos" w:eastAsia="Aptos" w:hAnsi="Aptos" w:cs="Aptos"/>
          <w:kern w:val="0"/>
        </w:rPr>
        <w:lastRenderedPageBreak/>
        <w:t xml:space="preserve">kompensatsioonimehhanismi suurus kujuneb selle järgi, kui suures osas jääb </w:t>
      </w:r>
      <w:proofErr w:type="spellStart"/>
      <w:r w:rsidRPr="00CE002E">
        <w:rPr>
          <w:rFonts w:ascii="Aptos" w:eastAsia="Aptos" w:hAnsi="Aptos" w:cs="Aptos"/>
          <w:kern w:val="0"/>
        </w:rPr>
        <w:t>KOV-de</w:t>
      </w:r>
      <w:proofErr w:type="spellEnd"/>
      <w:r w:rsidRPr="00CE002E">
        <w:rPr>
          <w:rFonts w:ascii="Aptos" w:eastAsia="Aptos" w:hAnsi="Aptos" w:cs="Aptos"/>
          <w:kern w:val="0"/>
        </w:rPr>
        <w:t xml:space="preserve"> rahastus pärast üleandmist alla määratud tingimusele. </w:t>
      </w:r>
    </w:p>
    <w:p w14:paraId="3916EF0C" w14:textId="77777777" w:rsidR="00CE002E" w:rsidRPr="00CE002E" w:rsidRDefault="00CE002E" w:rsidP="00CE002E">
      <w:pPr>
        <w:spacing w:after="0" w:line="240" w:lineRule="auto"/>
        <w:rPr>
          <w:rFonts w:ascii="Aptos" w:eastAsia="Aptos" w:hAnsi="Aptos" w:cs="Aptos"/>
          <w:kern w:val="0"/>
        </w:rPr>
      </w:pPr>
    </w:p>
    <w:p w14:paraId="3FDD7D95"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Kompensatsioon planeeritakse riigieelarves tasandusfondis ning sellest hiljem vabanevad vahendid suunatakse </w:t>
      </w:r>
      <w:proofErr w:type="spellStart"/>
      <w:r w:rsidRPr="00CE002E">
        <w:rPr>
          <w:rFonts w:ascii="Aptos" w:eastAsia="Aptos" w:hAnsi="Aptos" w:cs="Aptos"/>
          <w:kern w:val="0"/>
        </w:rPr>
        <w:t>KOV-de</w:t>
      </w:r>
      <w:proofErr w:type="spellEnd"/>
      <w:r w:rsidRPr="00CE002E">
        <w:rPr>
          <w:rFonts w:ascii="Aptos" w:eastAsia="Aptos" w:hAnsi="Aptos" w:cs="Aptos"/>
          <w:kern w:val="0"/>
        </w:rPr>
        <w:t xml:space="preserve"> tulude-kulude tasandusse. Kompensatsioon ajas väheneb, sest </w:t>
      </w:r>
      <w:proofErr w:type="spellStart"/>
      <w:r w:rsidRPr="00CE002E">
        <w:rPr>
          <w:rFonts w:ascii="Aptos" w:eastAsia="Aptos" w:hAnsi="Aptos" w:cs="Aptos"/>
          <w:kern w:val="0"/>
        </w:rPr>
        <w:t>KOV-ide</w:t>
      </w:r>
      <w:proofErr w:type="spellEnd"/>
      <w:r w:rsidRPr="00CE002E">
        <w:rPr>
          <w:rFonts w:ascii="Aptos" w:eastAsia="Aptos" w:hAnsi="Aptos" w:cs="Aptos"/>
          <w:kern w:val="0"/>
        </w:rPr>
        <w:t xml:space="preserve"> tulumaks iga-aastaselt kasvab, vähendades sellega negatiivseid tulemeid. Kompensatsiooni jooksvalt ümber ei arvestata ning eelnõu koostamisel arvestatud summad jäävad kehtima 2038. aasta lõpuni.</w:t>
      </w:r>
    </w:p>
    <w:p w14:paraId="2F279399" w14:textId="77777777" w:rsidR="00CE002E" w:rsidRPr="00CE002E" w:rsidRDefault="00CE002E" w:rsidP="00CE002E">
      <w:pPr>
        <w:spacing w:after="0" w:line="240" w:lineRule="auto"/>
        <w:rPr>
          <w:rFonts w:ascii="Aptos" w:eastAsia="Aptos" w:hAnsi="Aptos" w:cs="Aptos"/>
          <w:kern w:val="0"/>
        </w:rPr>
      </w:pPr>
    </w:p>
    <w:p w14:paraId="1C561F96"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Kuna tulumaksumäära muudatus suurendab </w:t>
      </w:r>
      <w:proofErr w:type="spellStart"/>
      <w:r w:rsidRPr="00CE002E">
        <w:rPr>
          <w:rFonts w:ascii="Aptos" w:eastAsia="Aptos" w:hAnsi="Aptos" w:cs="Aptos"/>
          <w:kern w:val="0"/>
        </w:rPr>
        <w:t>KOV-de</w:t>
      </w:r>
      <w:proofErr w:type="spellEnd"/>
      <w:r w:rsidRPr="00CE002E">
        <w:rPr>
          <w:rFonts w:ascii="Aptos" w:eastAsia="Aptos" w:hAnsi="Aptos" w:cs="Aptos"/>
          <w:kern w:val="0"/>
        </w:rPr>
        <w:t xml:space="preserve"> tulumaksu laekumist 2027. aastal alates veebruarist, siis jaanuarikuu osa eraldatakse 2027. aastal läbi tasandusfondi. Järgnevatel aastatel laekub see otse tulumaksust.</w:t>
      </w:r>
    </w:p>
    <w:p w14:paraId="2F069084" w14:textId="77777777" w:rsidR="00CE002E" w:rsidRPr="00CE002E" w:rsidRDefault="00CE002E" w:rsidP="00CE002E">
      <w:pPr>
        <w:spacing w:after="0" w:line="240" w:lineRule="auto"/>
        <w:rPr>
          <w:rFonts w:ascii="Aptos" w:eastAsia="Aptos" w:hAnsi="Aptos" w:cs="Aptos"/>
          <w:kern w:val="0"/>
        </w:rPr>
      </w:pPr>
    </w:p>
    <w:p w14:paraId="29E2D552" w14:textId="77777777" w:rsidR="00CE002E" w:rsidRPr="00CE002E" w:rsidRDefault="00CE002E" w:rsidP="00CE002E">
      <w:pPr>
        <w:spacing w:after="0" w:line="240" w:lineRule="auto"/>
        <w:rPr>
          <w:rFonts w:ascii="Aptos" w:eastAsia="Aptos" w:hAnsi="Aptos" w:cs="Aptos"/>
          <w:b/>
          <w:bCs/>
          <w:kern w:val="0"/>
        </w:rPr>
      </w:pPr>
      <w:r w:rsidRPr="00CE002E">
        <w:rPr>
          <w:rFonts w:ascii="Aptos" w:eastAsia="Aptos" w:hAnsi="Aptos" w:cs="Aptos"/>
          <w:b/>
          <w:bCs/>
          <w:kern w:val="0"/>
        </w:rPr>
        <w:t>Eelnõu jõustumine</w:t>
      </w:r>
    </w:p>
    <w:p w14:paraId="7E1E7B8F"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Seadus jõustub 1. jaanuaril 2027.</w:t>
      </w:r>
    </w:p>
    <w:p w14:paraId="727715CE" w14:textId="77777777" w:rsidR="00CE002E" w:rsidRPr="00CE002E" w:rsidRDefault="00CE002E" w:rsidP="00CE002E">
      <w:pPr>
        <w:spacing w:after="0" w:line="240" w:lineRule="auto"/>
        <w:rPr>
          <w:rFonts w:ascii="Aptos" w:eastAsia="Aptos" w:hAnsi="Aptos" w:cs="Aptos"/>
          <w:kern w:val="0"/>
        </w:rPr>
      </w:pPr>
    </w:p>
    <w:p w14:paraId="5D8C7F96" w14:textId="77777777" w:rsidR="00CE002E" w:rsidRPr="00CE002E" w:rsidRDefault="00CE002E" w:rsidP="00CE002E">
      <w:pPr>
        <w:spacing w:after="0" w:line="240" w:lineRule="auto"/>
        <w:rPr>
          <w:rFonts w:ascii="Aptos" w:eastAsia="Aptos" w:hAnsi="Aptos" w:cs="Aptos"/>
          <w:b/>
          <w:bCs/>
          <w:kern w:val="0"/>
        </w:rPr>
      </w:pPr>
      <w:r w:rsidRPr="00CE002E">
        <w:rPr>
          <w:rFonts w:ascii="Aptos" w:eastAsia="Aptos" w:hAnsi="Aptos" w:cs="Aptos"/>
          <w:b/>
          <w:bCs/>
          <w:kern w:val="0"/>
        </w:rPr>
        <w:t>Kas eelnõuga muudetakse teisi õigusakte?</w:t>
      </w:r>
    </w:p>
    <w:p w14:paraId="72079227"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Eelnõuga muudetakse:</w:t>
      </w:r>
    </w:p>
    <w:p w14:paraId="277EDB41" w14:textId="77777777" w:rsidR="00CE002E" w:rsidRPr="00CE002E" w:rsidRDefault="00CE002E" w:rsidP="00CE002E">
      <w:pPr>
        <w:spacing w:after="0" w:line="240" w:lineRule="auto"/>
        <w:rPr>
          <w:rFonts w:ascii="Aptos" w:eastAsia="Aptos" w:hAnsi="Aptos" w:cs="Aptos"/>
          <w:kern w:val="0"/>
          <w:lang w:eastAsia="et-EE"/>
          <w14:ligatures w14:val="none"/>
        </w:rPr>
      </w:pPr>
    </w:p>
    <w:p w14:paraId="48AE1478" w14:textId="77777777" w:rsidR="00CE002E" w:rsidRPr="00CE002E" w:rsidRDefault="00CE002E" w:rsidP="00CE002E">
      <w:pPr>
        <w:numPr>
          <w:ilvl w:val="0"/>
          <w:numId w:val="3"/>
        </w:numPr>
        <w:spacing w:after="0" w:line="240" w:lineRule="auto"/>
        <w:rPr>
          <w:rFonts w:ascii="Aptos" w:eastAsia="Times New Roman" w:hAnsi="Aptos" w:cs="Aptos"/>
          <w:kern w:val="0"/>
        </w:rPr>
      </w:pPr>
      <w:r w:rsidRPr="00CE002E">
        <w:rPr>
          <w:rFonts w:ascii="Aptos" w:eastAsia="Times New Roman" w:hAnsi="Aptos" w:cs="Aptos"/>
          <w:kern w:val="0"/>
        </w:rPr>
        <w:t>Põhikooli- ja gümnaasiumiseadust;</w:t>
      </w:r>
    </w:p>
    <w:p w14:paraId="595420D9" w14:textId="77777777" w:rsidR="00CE002E" w:rsidRPr="00CE002E" w:rsidRDefault="00CE002E" w:rsidP="00CE002E">
      <w:pPr>
        <w:numPr>
          <w:ilvl w:val="0"/>
          <w:numId w:val="3"/>
        </w:numPr>
        <w:spacing w:after="0" w:line="240" w:lineRule="auto"/>
        <w:rPr>
          <w:rFonts w:ascii="Aptos" w:eastAsia="Times New Roman" w:hAnsi="Aptos" w:cs="Aptos"/>
          <w:kern w:val="0"/>
        </w:rPr>
      </w:pPr>
      <w:r w:rsidRPr="00CE002E">
        <w:rPr>
          <w:rFonts w:ascii="Aptos" w:eastAsia="Times New Roman" w:hAnsi="Aptos" w:cs="Aptos"/>
          <w:kern w:val="0"/>
        </w:rPr>
        <w:t>Erakooliseadust;</w:t>
      </w:r>
    </w:p>
    <w:p w14:paraId="0B7D1C32" w14:textId="77777777" w:rsidR="00CE002E" w:rsidRPr="00CE002E" w:rsidRDefault="00CE002E" w:rsidP="00CE002E">
      <w:pPr>
        <w:numPr>
          <w:ilvl w:val="0"/>
          <w:numId w:val="3"/>
        </w:numPr>
        <w:spacing w:after="0" w:line="240" w:lineRule="auto"/>
        <w:rPr>
          <w:rFonts w:ascii="Aptos" w:eastAsia="Times New Roman" w:hAnsi="Aptos" w:cs="Aptos"/>
          <w:kern w:val="0"/>
        </w:rPr>
      </w:pPr>
      <w:r w:rsidRPr="00CE002E">
        <w:rPr>
          <w:rFonts w:ascii="Aptos" w:eastAsia="Times New Roman" w:hAnsi="Aptos" w:cs="Aptos"/>
          <w:kern w:val="0"/>
        </w:rPr>
        <w:t>Liiklusseadust;</w:t>
      </w:r>
    </w:p>
    <w:p w14:paraId="59AF6B33" w14:textId="77777777" w:rsidR="00CE002E" w:rsidRPr="00CE002E" w:rsidRDefault="00CE002E" w:rsidP="00CE002E">
      <w:pPr>
        <w:numPr>
          <w:ilvl w:val="0"/>
          <w:numId w:val="3"/>
        </w:numPr>
        <w:spacing w:after="0" w:line="240" w:lineRule="auto"/>
        <w:rPr>
          <w:rFonts w:ascii="Aptos" w:eastAsia="Times New Roman" w:hAnsi="Aptos" w:cs="Aptos"/>
          <w:kern w:val="0"/>
        </w:rPr>
      </w:pPr>
      <w:r w:rsidRPr="00CE002E">
        <w:rPr>
          <w:rFonts w:ascii="Aptos" w:eastAsia="Times New Roman" w:hAnsi="Aptos" w:cs="Aptos"/>
          <w:kern w:val="0"/>
        </w:rPr>
        <w:t>Noorsootöö seadust;</w:t>
      </w:r>
    </w:p>
    <w:p w14:paraId="39B076D8" w14:textId="77777777" w:rsidR="00CE002E" w:rsidRPr="00CE002E" w:rsidRDefault="00CE002E" w:rsidP="00CE002E">
      <w:pPr>
        <w:numPr>
          <w:ilvl w:val="0"/>
          <w:numId w:val="3"/>
        </w:numPr>
        <w:spacing w:after="0" w:line="240" w:lineRule="auto"/>
        <w:rPr>
          <w:rFonts w:ascii="Aptos" w:eastAsia="Times New Roman" w:hAnsi="Aptos" w:cs="Aptos"/>
          <w:kern w:val="0"/>
        </w:rPr>
      </w:pPr>
      <w:r w:rsidRPr="00CE002E">
        <w:rPr>
          <w:rFonts w:ascii="Aptos" w:eastAsia="Times New Roman" w:hAnsi="Aptos" w:cs="Aptos"/>
          <w:kern w:val="0"/>
        </w:rPr>
        <w:t>Sotsiaalhoolekande seadust;</w:t>
      </w:r>
    </w:p>
    <w:p w14:paraId="41CC04DA" w14:textId="77777777" w:rsidR="00CE002E" w:rsidRPr="00CE002E" w:rsidRDefault="00CE002E" w:rsidP="00CE002E">
      <w:pPr>
        <w:numPr>
          <w:ilvl w:val="0"/>
          <w:numId w:val="3"/>
        </w:numPr>
        <w:spacing w:after="0" w:line="240" w:lineRule="auto"/>
        <w:rPr>
          <w:rFonts w:ascii="Aptos" w:eastAsia="Times New Roman" w:hAnsi="Aptos" w:cs="Aptos"/>
          <w:kern w:val="0"/>
        </w:rPr>
      </w:pPr>
      <w:r w:rsidRPr="00CE002E">
        <w:rPr>
          <w:rFonts w:ascii="Aptos" w:eastAsia="Times New Roman" w:hAnsi="Aptos" w:cs="Aptos"/>
          <w:kern w:val="0"/>
        </w:rPr>
        <w:t>Tulumaksuseadust.</w:t>
      </w:r>
    </w:p>
    <w:p w14:paraId="4AE2E481" w14:textId="77777777" w:rsidR="00CE002E" w:rsidRPr="00CE002E" w:rsidRDefault="00CE002E" w:rsidP="00CE002E">
      <w:pPr>
        <w:spacing w:after="0" w:line="240" w:lineRule="auto"/>
        <w:rPr>
          <w:rFonts w:ascii="Aptos" w:eastAsia="Aptos" w:hAnsi="Aptos" w:cs="Aptos"/>
          <w:kern w:val="0"/>
        </w:rPr>
      </w:pPr>
      <w:r w:rsidRPr="00CE002E">
        <w:rPr>
          <w:rFonts w:ascii="Aptos" w:eastAsia="Times New Roman" w:hAnsi="Aptos" w:cs="Aptos"/>
          <w:kern w:val="0"/>
        </w:rPr>
        <w:br w:type="page"/>
      </w:r>
    </w:p>
    <w:p w14:paraId="7D650360" w14:textId="77777777" w:rsidR="00CE002E" w:rsidRPr="00CE002E" w:rsidRDefault="00CE002E" w:rsidP="00CE002E">
      <w:pPr>
        <w:spacing w:after="0" w:line="240" w:lineRule="auto"/>
        <w:rPr>
          <w:rFonts w:ascii="Aptos" w:eastAsia="Aptos" w:hAnsi="Aptos" w:cs="Aptos"/>
          <w:b/>
          <w:bCs/>
          <w:kern w:val="0"/>
        </w:rPr>
      </w:pPr>
      <w:r w:rsidRPr="00CE002E">
        <w:rPr>
          <w:rFonts w:ascii="Aptos" w:eastAsia="Aptos" w:hAnsi="Aptos" w:cs="Aptos"/>
          <w:noProof/>
          <w:kern w:val="0"/>
        </w:rPr>
        <w:lastRenderedPageBreak/>
        <w:drawing>
          <wp:anchor distT="0" distB="0" distL="114300" distR="114300" simplePos="0" relativeHeight="251659264" behindDoc="1" locked="0" layoutInCell="1" allowOverlap="1" wp14:anchorId="7099F998" wp14:editId="5E09306F">
            <wp:simplePos x="0" y="0"/>
            <wp:positionH relativeFrom="margin">
              <wp:posOffset>-74295</wp:posOffset>
            </wp:positionH>
            <wp:positionV relativeFrom="paragraph">
              <wp:posOffset>187960</wp:posOffset>
            </wp:positionV>
            <wp:extent cx="590550" cy="652145"/>
            <wp:effectExtent l="0" t="0" r="0" b="0"/>
            <wp:wrapTight wrapText="bothSides">
              <wp:wrapPolygon edited="0">
                <wp:start x="7665" y="0"/>
                <wp:lineTo x="6968" y="15774"/>
                <wp:lineTo x="9058" y="20822"/>
                <wp:lineTo x="11845" y="20822"/>
                <wp:lineTo x="13239" y="19560"/>
                <wp:lineTo x="13239" y="0"/>
                <wp:lineTo x="7665" y="0"/>
              </wp:wrapPolygon>
            </wp:wrapTight>
            <wp:docPr id="4" name="Pilt 1"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Exclamation mark with solid 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5214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CE002E">
        <w:rPr>
          <w:rFonts w:ascii="Aptos" w:eastAsia="Aptos" w:hAnsi="Aptos" w:cs="Aptos"/>
          <w:b/>
          <w:bCs/>
          <w:kern w:val="0"/>
        </w:rPr>
        <w:t>ELVLi</w:t>
      </w:r>
      <w:proofErr w:type="spellEnd"/>
      <w:r w:rsidRPr="00CE002E">
        <w:rPr>
          <w:rFonts w:ascii="Aptos" w:eastAsia="Aptos" w:hAnsi="Aptos" w:cs="Aptos"/>
          <w:b/>
          <w:bCs/>
          <w:kern w:val="0"/>
        </w:rPr>
        <w:t xml:space="preserve"> esialgne mõju hinnang</w:t>
      </w:r>
    </w:p>
    <w:p w14:paraId="273F63E6"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Suurendab </w:t>
      </w:r>
      <w:proofErr w:type="spellStart"/>
      <w:r w:rsidRPr="00CE002E">
        <w:rPr>
          <w:rFonts w:ascii="Aptos" w:eastAsia="Aptos" w:hAnsi="Aptos" w:cs="Aptos"/>
          <w:kern w:val="0"/>
        </w:rPr>
        <w:t>KOVi</w:t>
      </w:r>
      <w:proofErr w:type="spellEnd"/>
      <w:r w:rsidRPr="00CE002E">
        <w:rPr>
          <w:rFonts w:ascii="Aptos" w:eastAsia="Aptos" w:hAnsi="Aptos" w:cs="Aptos"/>
          <w:kern w:val="0"/>
        </w:rPr>
        <w:t xml:space="preserve"> finantsautonoomiat ning koondab vastutuse ja ressurssi samale tasandile. Lõpliku lahenduseta on üleminekumehhanismid.</w:t>
      </w:r>
    </w:p>
    <w:p w14:paraId="45E8494B" w14:textId="77777777" w:rsidR="00CE002E" w:rsidRPr="00CE002E" w:rsidRDefault="00CE002E" w:rsidP="00CE002E">
      <w:pPr>
        <w:spacing w:after="0" w:line="240" w:lineRule="auto"/>
        <w:rPr>
          <w:rFonts w:ascii="Aptos" w:eastAsia="Aptos" w:hAnsi="Aptos" w:cs="Aptos"/>
          <w:kern w:val="0"/>
        </w:rPr>
      </w:pPr>
    </w:p>
    <w:p w14:paraId="7B509ACF" w14:textId="77777777" w:rsidR="00CE002E" w:rsidRPr="00CE002E" w:rsidRDefault="00CE002E" w:rsidP="00CE002E">
      <w:pPr>
        <w:spacing w:after="0" w:line="240" w:lineRule="auto"/>
        <w:rPr>
          <w:rFonts w:ascii="Aptos" w:eastAsia="Aptos" w:hAnsi="Aptos" w:cs="Aptos"/>
          <w:kern w:val="0"/>
        </w:rPr>
      </w:pPr>
    </w:p>
    <w:tbl>
      <w:tblPr>
        <w:tblW w:w="4953" w:type="pct"/>
        <w:tblCellMar>
          <w:left w:w="0" w:type="dxa"/>
          <w:right w:w="0" w:type="dxa"/>
        </w:tblCellMar>
        <w:tblLook w:val="04A0" w:firstRow="1" w:lastRow="0" w:firstColumn="1" w:lastColumn="0" w:noHBand="0" w:noVBand="1"/>
      </w:tblPr>
      <w:tblGrid>
        <w:gridCol w:w="1377"/>
        <w:gridCol w:w="1235"/>
        <w:gridCol w:w="6309"/>
      </w:tblGrid>
      <w:tr w:rsidR="00CE002E" w:rsidRPr="00CE002E" w14:paraId="5748B347" w14:textId="77777777" w:rsidTr="00CE002E">
        <w:trPr>
          <w:trHeight w:val="301"/>
        </w:trPr>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FEBDC" w14:textId="77777777" w:rsidR="00CE002E" w:rsidRPr="00CE002E" w:rsidRDefault="00CE002E" w:rsidP="00CE002E">
            <w:pPr>
              <w:spacing w:after="0" w:line="240" w:lineRule="auto"/>
              <w:rPr>
                <w:rFonts w:ascii="Aptos" w:eastAsia="Aptos" w:hAnsi="Aptos" w:cs="Aptos"/>
                <w:b/>
                <w:bCs/>
                <w:kern w:val="0"/>
              </w:rPr>
            </w:pPr>
            <w:r w:rsidRPr="00CE002E">
              <w:rPr>
                <w:rFonts w:ascii="Aptos" w:eastAsia="Aptos" w:hAnsi="Aptos" w:cs="Aptos"/>
                <w:b/>
                <w:bCs/>
                <w:kern w:val="0"/>
              </w:rPr>
              <w:t>Kriteerium</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85015" w14:textId="77777777" w:rsidR="00CE002E" w:rsidRPr="00CE002E" w:rsidRDefault="00CE002E" w:rsidP="00CE002E">
            <w:pPr>
              <w:spacing w:after="0" w:line="240" w:lineRule="auto"/>
              <w:rPr>
                <w:rFonts w:ascii="Aptos" w:eastAsia="Aptos" w:hAnsi="Aptos" w:cs="Aptos"/>
                <w:b/>
                <w:bCs/>
                <w:kern w:val="0"/>
              </w:rPr>
            </w:pPr>
            <w:r w:rsidRPr="00CE002E">
              <w:rPr>
                <w:rFonts w:ascii="Aptos" w:eastAsia="Aptos" w:hAnsi="Aptos" w:cs="Aptos"/>
                <w:b/>
                <w:bCs/>
                <w:kern w:val="0"/>
              </w:rPr>
              <w:t>Mõju</w:t>
            </w:r>
          </w:p>
        </w:tc>
        <w:tc>
          <w:tcPr>
            <w:tcW w:w="3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C50474" w14:textId="77777777" w:rsidR="00CE002E" w:rsidRPr="00CE002E" w:rsidRDefault="00CE002E" w:rsidP="00CE002E">
            <w:pPr>
              <w:spacing w:after="0" w:line="240" w:lineRule="auto"/>
              <w:rPr>
                <w:rFonts w:ascii="Aptos" w:eastAsia="Aptos" w:hAnsi="Aptos" w:cs="Aptos"/>
                <w:b/>
                <w:bCs/>
                <w:kern w:val="0"/>
              </w:rPr>
            </w:pPr>
            <w:r w:rsidRPr="00CE002E">
              <w:rPr>
                <w:rFonts w:ascii="Aptos" w:eastAsia="Aptos" w:hAnsi="Aptos" w:cs="Aptos"/>
                <w:b/>
                <w:bCs/>
                <w:kern w:val="0"/>
              </w:rPr>
              <w:t>Lühike selgitus</w:t>
            </w:r>
          </w:p>
        </w:tc>
      </w:tr>
      <w:tr w:rsidR="00CE002E" w:rsidRPr="00CE002E" w14:paraId="49FEFBDA" w14:textId="77777777" w:rsidTr="00CE002E">
        <w:trPr>
          <w:trHeight w:val="3719"/>
        </w:trPr>
        <w:tc>
          <w:tcPr>
            <w:tcW w:w="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27C2B"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Ulatus</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2F323B23"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Väike</w:t>
            </w:r>
          </w:p>
        </w:tc>
        <w:tc>
          <w:tcPr>
            <w:tcW w:w="3537" w:type="pct"/>
            <w:tcBorders>
              <w:top w:val="nil"/>
              <w:left w:val="nil"/>
              <w:bottom w:val="single" w:sz="8" w:space="0" w:color="auto"/>
              <w:right w:val="single" w:sz="8" w:space="0" w:color="auto"/>
            </w:tcBorders>
            <w:tcMar>
              <w:top w:w="0" w:type="dxa"/>
              <w:left w:w="108" w:type="dxa"/>
              <w:bottom w:w="0" w:type="dxa"/>
              <w:right w:w="108" w:type="dxa"/>
            </w:tcMar>
            <w:hideMark/>
          </w:tcPr>
          <w:p w14:paraId="35138C6D"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Formaal-juriidiliselt uusi ülesandeid eelnõu </w:t>
            </w:r>
            <w:proofErr w:type="spellStart"/>
            <w:r w:rsidRPr="00CE002E">
              <w:rPr>
                <w:rFonts w:ascii="Aptos" w:eastAsia="Aptos" w:hAnsi="Aptos" w:cs="Aptos"/>
                <w:kern w:val="0"/>
              </w:rPr>
              <w:t>KOV-idele</w:t>
            </w:r>
            <w:proofErr w:type="spellEnd"/>
            <w:r w:rsidRPr="00CE002E">
              <w:rPr>
                <w:rFonts w:ascii="Aptos" w:eastAsia="Aptos" w:hAnsi="Aptos" w:cs="Aptos"/>
                <w:kern w:val="0"/>
              </w:rPr>
              <w:t xml:space="preserve"> ei lisa. Seletuskiri ütleb korduvalt, et ülesanded, õigused ja kohustused jäävad samaks ning muutub üksnes rahastamisallikas. </w:t>
            </w:r>
            <w:proofErr w:type="spellStart"/>
            <w:r w:rsidRPr="00CE002E">
              <w:rPr>
                <w:rFonts w:ascii="Aptos" w:eastAsia="Aptos" w:hAnsi="Aptos" w:cs="Aptos"/>
                <w:kern w:val="0"/>
              </w:rPr>
              <w:t>KOVi</w:t>
            </w:r>
            <w:proofErr w:type="spellEnd"/>
            <w:r w:rsidRPr="00CE002E">
              <w:rPr>
                <w:rFonts w:ascii="Aptos" w:eastAsia="Aptos" w:hAnsi="Aptos" w:cs="Aptos"/>
                <w:kern w:val="0"/>
              </w:rPr>
              <w:t xml:space="preserve"> vaates suureneb KOV vastutus teha eelarve- ja teenuseotsuseid ilma senise sihtotstarbelise piiranguta. See tähendab sisuliselt suuremat kohustust prioriseerida, planeerida ja põhjendada teenuste rahastamist kohalikul tasandil. Eriti puudutab see haridust, noorsootööd, </w:t>
            </w:r>
            <w:proofErr w:type="spellStart"/>
            <w:r w:rsidRPr="00CE002E">
              <w:rPr>
                <w:rFonts w:ascii="Aptos" w:eastAsia="Aptos" w:hAnsi="Aptos" w:cs="Aptos"/>
                <w:kern w:val="0"/>
              </w:rPr>
              <w:t>teedehoidu</w:t>
            </w:r>
            <w:proofErr w:type="spellEnd"/>
            <w:r w:rsidRPr="00CE002E">
              <w:rPr>
                <w:rFonts w:ascii="Aptos" w:eastAsia="Aptos" w:hAnsi="Aptos" w:cs="Aptos"/>
                <w:kern w:val="0"/>
              </w:rPr>
              <w:t xml:space="preserve"> ja raske puudega laste teenuseid. Seega ei teki uusi seaduslikke teenuseid, kuid kasvab juhtimisvastutus olemasolevate teenuste mahu ja kvaliteedi eest.</w:t>
            </w:r>
          </w:p>
        </w:tc>
      </w:tr>
      <w:tr w:rsidR="00CE002E" w:rsidRPr="00CE002E" w14:paraId="4F5A060E" w14:textId="77777777" w:rsidTr="00CE002E">
        <w:trPr>
          <w:trHeight w:val="5021"/>
        </w:trPr>
        <w:tc>
          <w:tcPr>
            <w:tcW w:w="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0B442" w14:textId="77777777" w:rsidR="00CE002E" w:rsidRPr="00CE002E" w:rsidRDefault="00CE002E" w:rsidP="00CE002E">
            <w:pPr>
              <w:spacing w:after="0" w:line="240" w:lineRule="auto"/>
              <w:rPr>
                <w:rFonts w:ascii="Aptos" w:eastAsia="Aptos" w:hAnsi="Aptos" w:cs="Aptos"/>
                <w:kern w:val="0"/>
              </w:rPr>
            </w:pPr>
            <w:r w:rsidRPr="00CE002E">
              <w:rPr>
                <w:rFonts w:ascii="Aptos" w:eastAsia="Times New Roman" w:hAnsi="Aptos" w:cs="Aptos"/>
                <w:kern w:val="0"/>
              </w:rPr>
              <w:br w:type="page"/>
            </w:r>
            <w:r w:rsidRPr="00CE002E">
              <w:rPr>
                <w:rFonts w:ascii="Aptos" w:eastAsia="Aptos" w:hAnsi="Aptos" w:cs="Aptos"/>
                <w:kern w:val="0"/>
              </w:rPr>
              <w:t>Ressurss</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59E02E8D"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Keskmine</w:t>
            </w:r>
          </w:p>
        </w:tc>
        <w:tc>
          <w:tcPr>
            <w:tcW w:w="3537" w:type="pct"/>
            <w:tcBorders>
              <w:top w:val="nil"/>
              <w:left w:val="nil"/>
              <w:bottom w:val="single" w:sz="8" w:space="0" w:color="auto"/>
              <w:right w:val="single" w:sz="8" w:space="0" w:color="auto"/>
            </w:tcBorders>
            <w:tcMar>
              <w:top w:w="0" w:type="dxa"/>
              <w:left w:w="108" w:type="dxa"/>
              <w:bottom w:w="0" w:type="dxa"/>
              <w:right w:w="108" w:type="dxa"/>
            </w:tcMar>
            <w:hideMark/>
          </w:tcPr>
          <w:p w14:paraId="0866CA9E"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Enamasti peaks olemasolev personal suutma muudatusega kohaneda, sest uusi kohustuslikke teenuseid ei lisandu. Samas ei ole mõju kõigile </w:t>
            </w:r>
            <w:proofErr w:type="spellStart"/>
            <w:r w:rsidRPr="00CE002E">
              <w:rPr>
                <w:rFonts w:ascii="Aptos" w:eastAsia="Aptos" w:hAnsi="Aptos" w:cs="Aptos"/>
                <w:kern w:val="0"/>
              </w:rPr>
              <w:t>KOV-idele</w:t>
            </w:r>
            <w:proofErr w:type="spellEnd"/>
            <w:r w:rsidRPr="00CE002E">
              <w:rPr>
                <w:rFonts w:ascii="Aptos" w:eastAsia="Aptos" w:hAnsi="Aptos" w:cs="Aptos"/>
                <w:kern w:val="0"/>
              </w:rPr>
              <w:t xml:space="preserve"> ühetaoline. Väiksemates omavalitsustes võib rahastusmudeli muutus koormata finants- ja valdkonnajuhte.</w:t>
            </w:r>
          </w:p>
          <w:p w14:paraId="6A77B862"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2027. aastaks on kavandatud riigieelarveneutraalne üleandmine: tulubaasi peaks jõudma sama summa, mis oleks muidu eraldatud sihtotstarbeliste toetustena. Samuti nähakse ette üleminekumehhanism, mille järgi ei tohiks ühegi </w:t>
            </w:r>
            <w:proofErr w:type="spellStart"/>
            <w:r w:rsidRPr="00CE002E">
              <w:rPr>
                <w:rFonts w:ascii="Aptos" w:eastAsia="Aptos" w:hAnsi="Aptos" w:cs="Aptos"/>
                <w:kern w:val="0"/>
              </w:rPr>
              <w:t>KOV-i</w:t>
            </w:r>
            <w:proofErr w:type="spellEnd"/>
            <w:r w:rsidRPr="00CE002E">
              <w:rPr>
                <w:rFonts w:ascii="Aptos" w:eastAsia="Aptos" w:hAnsi="Aptos" w:cs="Aptos"/>
                <w:kern w:val="0"/>
              </w:rPr>
              <w:t xml:space="preserve"> tulemus 2027. aastal halveneda üle 0,1% ning kuni 2035. aastani kompenseeritakse tulubaasi vähenemine riigieelarve seaduses sätestatud ulatuses. Probleem on aga selles, et pärast üleandmist sõltub ressurss peamiselt tulumaksu laekumisest ning valdkondade kulusurve – näiteks inflatsioon, teehoiu hinnad või abivajaduse kasv – ei pruugi liikuda sama tempoga.</w:t>
            </w:r>
          </w:p>
          <w:p w14:paraId="0DE96F28"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Seega on esmane kate olemas, kuid püsiv kulurisk jääb osaliselt omavalitsusele.</w:t>
            </w:r>
          </w:p>
        </w:tc>
      </w:tr>
      <w:tr w:rsidR="00CE002E" w:rsidRPr="00CE002E" w14:paraId="4E53B88C" w14:textId="77777777" w:rsidTr="00CE002E">
        <w:trPr>
          <w:trHeight w:val="144"/>
        </w:trPr>
        <w:tc>
          <w:tcPr>
            <w:tcW w:w="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72D96"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Sagedus</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678CBFE9"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Väike</w:t>
            </w:r>
          </w:p>
        </w:tc>
        <w:tc>
          <w:tcPr>
            <w:tcW w:w="3537" w:type="pct"/>
            <w:tcBorders>
              <w:top w:val="nil"/>
              <w:left w:val="nil"/>
              <w:bottom w:val="single" w:sz="8" w:space="0" w:color="auto"/>
              <w:right w:val="single" w:sz="8" w:space="0" w:color="auto"/>
            </w:tcBorders>
            <w:tcMar>
              <w:top w:w="0" w:type="dxa"/>
              <w:left w:w="108" w:type="dxa"/>
              <w:bottom w:w="0" w:type="dxa"/>
              <w:right w:w="108" w:type="dxa"/>
            </w:tcMar>
            <w:hideMark/>
          </w:tcPr>
          <w:p w14:paraId="1DAB477B"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Eelnõu ei sätesta </w:t>
            </w:r>
            <w:proofErr w:type="spellStart"/>
            <w:r w:rsidRPr="00CE002E">
              <w:rPr>
                <w:rFonts w:ascii="Aptos" w:eastAsia="Aptos" w:hAnsi="Aptos" w:cs="Aptos"/>
                <w:kern w:val="0"/>
              </w:rPr>
              <w:t>KOV-dele</w:t>
            </w:r>
            <w:proofErr w:type="spellEnd"/>
            <w:r w:rsidRPr="00CE002E">
              <w:rPr>
                <w:rFonts w:ascii="Aptos" w:eastAsia="Aptos" w:hAnsi="Aptos" w:cs="Aptos"/>
                <w:kern w:val="0"/>
              </w:rPr>
              <w:t xml:space="preserve"> uue aruandluse või statistika esitamise kohustust.</w:t>
            </w:r>
          </w:p>
          <w:p w14:paraId="4EE1FA7F"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Sihtotstarbelise toetuse kaotamine vähendab taotluste, lepingute ja aruandlusega seotud asjaajamist nii riigi kui KOV tasandil.</w:t>
            </w:r>
          </w:p>
        </w:tc>
      </w:tr>
      <w:tr w:rsidR="00CE002E" w:rsidRPr="00CE002E" w14:paraId="40ACE50D" w14:textId="77777777" w:rsidTr="00CE002E">
        <w:trPr>
          <w:trHeight w:val="2957"/>
        </w:trPr>
        <w:tc>
          <w:tcPr>
            <w:tcW w:w="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BA79A"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lastRenderedPageBreak/>
              <w:t>Selgusetus</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11B9A97F"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Väike</w:t>
            </w:r>
          </w:p>
        </w:tc>
        <w:tc>
          <w:tcPr>
            <w:tcW w:w="3537" w:type="pct"/>
            <w:tcBorders>
              <w:top w:val="nil"/>
              <w:left w:val="nil"/>
              <w:bottom w:val="single" w:sz="8" w:space="0" w:color="auto"/>
              <w:right w:val="single" w:sz="8" w:space="0" w:color="auto"/>
            </w:tcBorders>
            <w:tcMar>
              <w:top w:w="0" w:type="dxa"/>
              <w:left w:w="108" w:type="dxa"/>
              <w:bottom w:w="0" w:type="dxa"/>
              <w:right w:w="108" w:type="dxa"/>
            </w:tcMar>
            <w:hideMark/>
          </w:tcPr>
          <w:p w14:paraId="1AA82C01"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Normitehniliselt on eelnõu lühike ja loetav. Muudatused on seaduste kaupa struktureeritud ning üldine loogika – sihtotstarbeliste toetuste sätete kehtetuks tunnistamine ja tulubaasi tugevdamine – on jälgitav. KOV-vaates võib tekkida selguse probleem mitte normi sõnastuses, vaid reformi tagajärgede detailsuses. Näiteks jääb eelnõu tasandil lahtiseks, kuidas täpselt hakkab toimima üleminekumehhanism konkreetse KOV vaates. Seega on seadustekst ise üsna selge, kuid rakendusloogika ei ole täiel määral samal tasemel lahti kirjutatud.</w:t>
            </w:r>
          </w:p>
        </w:tc>
      </w:tr>
      <w:tr w:rsidR="00CE002E" w:rsidRPr="00CE002E" w14:paraId="07632C23" w14:textId="77777777" w:rsidTr="00CE002E">
        <w:trPr>
          <w:trHeight w:val="1850"/>
        </w:trPr>
        <w:tc>
          <w:tcPr>
            <w:tcW w:w="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BF086" w14:textId="77777777" w:rsidR="00CE002E" w:rsidRPr="00CE002E" w:rsidRDefault="00CE002E" w:rsidP="00CE002E">
            <w:pPr>
              <w:spacing w:after="0" w:line="240" w:lineRule="auto"/>
              <w:rPr>
                <w:rFonts w:ascii="Aptos" w:eastAsia="Aptos" w:hAnsi="Aptos" w:cs="Aptos"/>
                <w:kern w:val="0"/>
              </w:rPr>
            </w:pPr>
            <w:proofErr w:type="spellStart"/>
            <w:r w:rsidRPr="00CE002E">
              <w:rPr>
                <w:rFonts w:ascii="Aptos" w:eastAsia="Aptos" w:hAnsi="Aptos" w:cs="Aptos"/>
                <w:kern w:val="0"/>
              </w:rPr>
              <w:t>Tsentrali-seeritus</w:t>
            </w:r>
            <w:proofErr w:type="spellEnd"/>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67A7257C"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Väike</w:t>
            </w:r>
          </w:p>
        </w:tc>
        <w:tc>
          <w:tcPr>
            <w:tcW w:w="3537" w:type="pct"/>
            <w:tcBorders>
              <w:top w:val="nil"/>
              <w:left w:val="nil"/>
              <w:bottom w:val="single" w:sz="8" w:space="0" w:color="auto"/>
              <w:right w:val="single" w:sz="8" w:space="0" w:color="auto"/>
            </w:tcBorders>
            <w:tcMar>
              <w:top w:w="0" w:type="dxa"/>
              <w:left w:w="108" w:type="dxa"/>
              <w:bottom w:w="0" w:type="dxa"/>
              <w:right w:w="108" w:type="dxa"/>
            </w:tcMar>
            <w:hideMark/>
          </w:tcPr>
          <w:p w14:paraId="1255F9F7" w14:textId="77777777" w:rsidR="00CE002E" w:rsidRPr="00CE002E" w:rsidRDefault="00CE002E" w:rsidP="00CE002E">
            <w:pPr>
              <w:spacing w:after="0" w:line="240" w:lineRule="auto"/>
              <w:rPr>
                <w:rFonts w:ascii="Aptos" w:eastAsia="Aptos" w:hAnsi="Aptos" w:cs="Aptos"/>
                <w:kern w:val="0"/>
              </w:rPr>
            </w:pPr>
            <w:r w:rsidRPr="00CE002E">
              <w:rPr>
                <w:rFonts w:ascii="Aptos" w:eastAsia="Aptos" w:hAnsi="Aptos" w:cs="Aptos"/>
                <w:kern w:val="0"/>
              </w:rPr>
              <w:t xml:space="preserve">Eelnõu ei võta </w:t>
            </w:r>
            <w:proofErr w:type="spellStart"/>
            <w:r w:rsidRPr="00CE002E">
              <w:rPr>
                <w:rFonts w:ascii="Aptos" w:eastAsia="Aptos" w:hAnsi="Aptos" w:cs="Aptos"/>
                <w:kern w:val="0"/>
              </w:rPr>
              <w:t>KOV-lt</w:t>
            </w:r>
            <w:proofErr w:type="spellEnd"/>
            <w:r w:rsidRPr="00CE002E">
              <w:rPr>
                <w:rFonts w:ascii="Aptos" w:eastAsia="Aptos" w:hAnsi="Aptos" w:cs="Aptos"/>
                <w:kern w:val="0"/>
              </w:rPr>
              <w:t xml:space="preserve"> otseselt ära kohaliku elu küsimuste otsustamist, pigem suurendab seda. Eelnõu keskne mõte on viia ressurss senisest enam sinna, kus teenuse korraldamise vastutus juba asub. Seletuskiri seob seda otseselt KOV enesekorraldusõiguse, eelarve iseseisvuse ja finantsautonoomiaga.</w:t>
            </w:r>
          </w:p>
        </w:tc>
      </w:tr>
    </w:tbl>
    <w:p w14:paraId="72B49E46" w14:textId="02A0DF0F" w:rsidR="00715C3A" w:rsidRDefault="00715C3A"/>
    <w:tbl>
      <w:tblPr>
        <w:tblW w:w="13243" w:type="dxa"/>
        <w:tblCellMar>
          <w:left w:w="70" w:type="dxa"/>
          <w:right w:w="70" w:type="dxa"/>
        </w:tblCellMar>
        <w:tblLook w:val="04A0" w:firstRow="1" w:lastRow="0" w:firstColumn="1" w:lastColumn="0" w:noHBand="0" w:noVBand="1"/>
      </w:tblPr>
      <w:tblGrid>
        <w:gridCol w:w="1811"/>
        <w:gridCol w:w="146"/>
        <w:gridCol w:w="2166"/>
        <w:gridCol w:w="146"/>
        <w:gridCol w:w="960"/>
        <w:gridCol w:w="1060"/>
        <w:gridCol w:w="1060"/>
        <w:gridCol w:w="960"/>
        <w:gridCol w:w="1060"/>
        <w:gridCol w:w="960"/>
        <w:gridCol w:w="960"/>
        <w:gridCol w:w="1060"/>
        <w:gridCol w:w="960"/>
      </w:tblGrid>
      <w:tr w:rsidR="008763AF" w:rsidRPr="008763AF" w14:paraId="5ACFD1E3" w14:textId="77777777" w:rsidTr="008763AF">
        <w:trPr>
          <w:trHeight w:val="300"/>
        </w:trPr>
        <w:tc>
          <w:tcPr>
            <w:tcW w:w="4203" w:type="dxa"/>
            <w:gridSpan w:val="4"/>
            <w:tcBorders>
              <w:top w:val="nil"/>
              <w:left w:val="nil"/>
              <w:bottom w:val="nil"/>
              <w:right w:val="nil"/>
            </w:tcBorders>
            <w:noWrap/>
            <w:vAlign w:val="bottom"/>
            <w:hideMark/>
          </w:tcPr>
          <w:p w14:paraId="3CD55E39"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2027 aastast tulumaksumäär 10,58%</w:t>
            </w:r>
          </w:p>
        </w:tc>
        <w:tc>
          <w:tcPr>
            <w:tcW w:w="960" w:type="dxa"/>
            <w:tcBorders>
              <w:top w:val="nil"/>
              <w:left w:val="nil"/>
              <w:bottom w:val="nil"/>
              <w:right w:val="nil"/>
            </w:tcBorders>
            <w:noWrap/>
            <w:vAlign w:val="bottom"/>
            <w:hideMark/>
          </w:tcPr>
          <w:p w14:paraId="608C88AC"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p>
        </w:tc>
        <w:tc>
          <w:tcPr>
            <w:tcW w:w="1060" w:type="dxa"/>
            <w:tcBorders>
              <w:top w:val="nil"/>
              <w:left w:val="nil"/>
              <w:bottom w:val="nil"/>
              <w:right w:val="nil"/>
            </w:tcBorders>
            <w:noWrap/>
            <w:vAlign w:val="bottom"/>
            <w:hideMark/>
          </w:tcPr>
          <w:p w14:paraId="0A6411C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C0A5988"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74197B4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109AB6C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1A62801B"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4FD94BCC"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5E3DAF98"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7F8635ED"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21947069" w14:textId="77777777" w:rsidTr="008763AF">
        <w:trPr>
          <w:trHeight w:val="300"/>
        </w:trPr>
        <w:tc>
          <w:tcPr>
            <w:tcW w:w="1811" w:type="dxa"/>
            <w:tcBorders>
              <w:top w:val="nil"/>
              <w:left w:val="nil"/>
              <w:bottom w:val="nil"/>
              <w:right w:val="nil"/>
            </w:tcBorders>
            <w:noWrap/>
            <w:vAlign w:val="bottom"/>
            <w:hideMark/>
          </w:tcPr>
          <w:p w14:paraId="71B3D6FD"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15" w:type="dxa"/>
            <w:tcBorders>
              <w:top w:val="nil"/>
              <w:left w:val="nil"/>
              <w:bottom w:val="nil"/>
              <w:right w:val="nil"/>
            </w:tcBorders>
            <w:noWrap/>
            <w:vAlign w:val="bottom"/>
            <w:hideMark/>
          </w:tcPr>
          <w:p w14:paraId="1B4BACD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2166" w:type="dxa"/>
            <w:tcBorders>
              <w:top w:val="nil"/>
              <w:left w:val="nil"/>
              <w:bottom w:val="nil"/>
              <w:right w:val="nil"/>
            </w:tcBorders>
            <w:noWrap/>
            <w:vAlign w:val="bottom"/>
            <w:hideMark/>
          </w:tcPr>
          <w:p w14:paraId="41324A3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11" w:type="dxa"/>
            <w:tcBorders>
              <w:top w:val="nil"/>
              <w:left w:val="nil"/>
              <w:bottom w:val="nil"/>
              <w:right w:val="nil"/>
            </w:tcBorders>
            <w:noWrap/>
            <w:vAlign w:val="bottom"/>
            <w:hideMark/>
          </w:tcPr>
          <w:p w14:paraId="4155C37F"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1239BCB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4C09DA07"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0FE09B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1CC6D2A0"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128AF94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7888DDC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35B0C06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58D14624"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F7CCB69"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3EAB3E4A" w14:textId="77777777" w:rsidTr="008763AF">
        <w:trPr>
          <w:trHeight w:val="300"/>
        </w:trPr>
        <w:tc>
          <w:tcPr>
            <w:tcW w:w="5163" w:type="dxa"/>
            <w:gridSpan w:val="5"/>
            <w:tcBorders>
              <w:top w:val="nil"/>
              <w:left w:val="nil"/>
              <w:bottom w:val="nil"/>
              <w:right w:val="nil"/>
            </w:tcBorders>
            <w:noWrap/>
            <w:vAlign w:val="bottom"/>
            <w:hideMark/>
          </w:tcPr>
          <w:p w14:paraId="56A929F6"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Mulgi vallal tulubaasi antavaid toetusi 836 000 eurot</w:t>
            </w:r>
          </w:p>
        </w:tc>
        <w:tc>
          <w:tcPr>
            <w:tcW w:w="1060" w:type="dxa"/>
            <w:tcBorders>
              <w:top w:val="nil"/>
              <w:left w:val="nil"/>
              <w:bottom w:val="nil"/>
              <w:right w:val="nil"/>
            </w:tcBorders>
            <w:noWrap/>
            <w:vAlign w:val="bottom"/>
            <w:hideMark/>
          </w:tcPr>
          <w:p w14:paraId="32BB9696"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p>
        </w:tc>
        <w:tc>
          <w:tcPr>
            <w:tcW w:w="1060" w:type="dxa"/>
            <w:tcBorders>
              <w:top w:val="nil"/>
              <w:left w:val="nil"/>
              <w:bottom w:val="nil"/>
              <w:right w:val="nil"/>
            </w:tcBorders>
            <w:noWrap/>
            <w:vAlign w:val="bottom"/>
            <w:hideMark/>
          </w:tcPr>
          <w:p w14:paraId="618CD8A0"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735F4DAF"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2A34316E"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F59105E"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06D5C3F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51CB77B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05BCFFB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0409DBDF" w14:textId="77777777" w:rsidTr="008763AF">
        <w:trPr>
          <w:trHeight w:val="300"/>
        </w:trPr>
        <w:tc>
          <w:tcPr>
            <w:tcW w:w="1926" w:type="dxa"/>
            <w:gridSpan w:val="2"/>
            <w:tcBorders>
              <w:top w:val="nil"/>
              <w:left w:val="nil"/>
              <w:bottom w:val="nil"/>
              <w:right w:val="nil"/>
            </w:tcBorders>
            <w:noWrap/>
            <w:vAlign w:val="bottom"/>
            <w:hideMark/>
          </w:tcPr>
          <w:p w14:paraId="4A816DCE"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2028 aastal katmine:</w:t>
            </w:r>
          </w:p>
        </w:tc>
        <w:tc>
          <w:tcPr>
            <w:tcW w:w="2166" w:type="dxa"/>
            <w:tcBorders>
              <w:top w:val="nil"/>
              <w:left w:val="nil"/>
              <w:bottom w:val="nil"/>
              <w:right w:val="nil"/>
            </w:tcBorders>
            <w:noWrap/>
            <w:vAlign w:val="bottom"/>
            <w:hideMark/>
          </w:tcPr>
          <w:p w14:paraId="625E5844"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p>
        </w:tc>
        <w:tc>
          <w:tcPr>
            <w:tcW w:w="111" w:type="dxa"/>
            <w:tcBorders>
              <w:top w:val="nil"/>
              <w:left w:val="nil"/>
              <w:bottom w:val="nil"/>
              <w:right w:val="nil"/>
            </w:tcBorders>
            <w:noWrap/>
            <w:vAlign w:val="bottom"/>
            <w:hideMark/>
          </w:tcPr>
          <w:p w14:paraId="586D202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D76CD1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01A68DD4"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D9BA068"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06659DF0"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0368AB4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17F60E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EB5CB98"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4F50773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5CFA2928"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50F97F4C" w14:textId="77777777" w:rsidTr="008763AF">
        <w:trPr>
          <w:trHeight w:val="300"/>
        </w:trPr>
        <w:tc>
          <w:tcPr>
            <w:tcW w:w="1926" w:type="dxa"/>
            <w:gridSpan w:val="2"/>
            <w:tcBorders>
              <w:top w:val="nil"/>
              <w:left w:val="nil"/>
              <w:bottom w:val="nil"/>
              <w:right w:val="nil"/>
            </w:tcBorders>
            <w:noWrap/>
            <w:vAlign w:val="bottom"/>
            <w:hideMark/>
          </w:tcPr>
          <w:p w14:paraId="0944A28D"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 xml:space="preserve">tulumaksust </w:t>
            </w:r>
          </w:p>
        </w:tc>
        <w:tc>
          <w:tcPr>
            <w:tcW w:w="2166" w:type="dxa"/>
            <w:tcBorders>
              <w:top w:val="nil"/>
              <w:left w:val="nil"/>
              <w:bottom w:val="nil"/>
              <w:right w:val="nil"/>
            </w:tcBorders>
            <w:noWrap/>
            <w:vAlign w:val="bottom"/>
            <w:hideMark/>
          </w:tcPr>
          <w:p w14:paraId="291CB8F7"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316000</w:t>
            </w:r>
          </w:p>
        </w:tc>
        <w:tc>
          <w:tcPr>
            <w:tcW w:w="111" w:type="dxa"/>
            <w:tcBorders>
              <w:top w:val="nil"/>
              <w:left w:val="nil"/>
              <w:bottom w:val="nil"/>
              <w:right w:val="nil"/>
            </w:tcBorders>
            <w:noWrap/>
            <w:vAlign w:val="bottom"/>
            <w:hideMark/>
          </w:tcPr>
          <w:p w14:paraId="4DF0A8FB"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p>
        </w:tc>
        <w:tc>
          <w:tcPr>
            <w:tcW w:w="960" w:type="dxa"/>
            <w:tcBorders>
              <w:top w:val="nil"/>
              <w:left w:val="nil"/>
              <w:bottom w:val="nil"/>
              <w:right w:val="nil"/>
            </w:tcBorders>
            <w:noWrap/>
            <w:vAlign w:val="bottom"/>
            <w:hideMark/>
          </w:tcPr>
          <w:p w14:paraId="248F897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19868E0"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EFC356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C98F2E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42AB5CE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431749B4"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F73650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8F82AFE"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3961D94"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303D01F5" w14:textId="77777777" w:rsidTr="008763AF">
        <w:trPr>
          <w:trHeight w:val="300"/>
        </w:trPr>
        <w:tc>
          <w:tcPr>
            <w:tcW w:w="1926" w:type="dxa"/>
            <w:gridSpan w:val="2"/>
            <w:tcBorders>
              <w:top w:val="nil"/>
              <w:left w:val="nil"/>
              <w:bottom w:val="nil"/>
              <w:right w:val="nil"/>
            </w:tcBorders>
            <w:noWrap/>
            <w:vAlign w:val="bottom"/>
            <w:hideMark/>
          </w:tcPr>
          <w:p w14:paraId="0E9559DC"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tasandusfond</w:t>
            </w:r>
          </w:p>
        </w:tc>
        <w:tc>
          <w:tcPr>
            <w:tcW w:w="2166" w:type="dxa"/>
            <w:tcBorders>
              <w:top w:val="nil"/>
              <w:left w:val="nil"/>
              <w:bottom w:val="nil"/>
              <w:right w:val="nil"/>
            </w:tcBorders>
            <w:noWrap/>
            <w:vAlign w:val="bottom"/>
            <w:hideMark/>
          </w:tcPr>
          <w:p w14:paraId="12A4F8D5"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450000</w:t>
            </w:r>
          </w:p>
        </w:tc>
        <w:tc>
          <w:tcPr>
            <w:tcW w:w="111" w:type="dxa"/>
            <w:tcBorders>
              <w:top w:val="nil"/>
              <w:left w:val="nil"/>
              <w:bottom w:val="nil"/>
              <w:right w:val="nil"/>
            </w:tcBorders>
            <w:noWrap/>
            <w:vAlign w:val="bottom"/>
            <w:hideMark/>
          </w:tcPr>
          <w:p w14:paraId="5DEAC7C9"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p>
        </w:tc>
        <w:tc>
          <w:tcPr>
            <w:tcW w:w="960" w:type="dxa"/>
            <w:tcBorders>
              <w:top w:val="nil"/>
              <w:left w:val="nil"/>
              <w:bottom w:val="nil"/>
              <w:right w:val="nil"/>
            </w:tcBorders>
            <w:noWrap/>
            <w:vAlign w:val="bottom"/>
            <w:hideMark/>
          </w:tcPr>
          <w:p w14:paraId="12FF640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AAC491C"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E7DB3B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763D5E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7C1122AE"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386C5669"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F3BD4E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2562BAAB"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57A0006C"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233EB785" w14:textId="77777777" w:rsidTr="008763AF">
        <w:trPr>
          <w:trHeight w:val="300"/>
        </w:trPr>
        <w:tc>
          <w:tcPr>
            <w:tcW w:w="1926" w:type="dxa"/>
            <w:gridSpan w:val="2"/>
            <w:tcBorders>
              <w:top w:val="nil"/>
              <w:left w:val="nil"/>
              <w:bottom w:val="nil"/>
              <w:right w:val="nil"/>
            </w:tcBorders>
            <w:noWrap/>
            <w:vAlign w:val="bottom"/>
            <w:hideMark/>
          </w:tcPr>
          <w:p w14:paraId="2F80DBDD"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kompensatsioon</w:t>
            </w:r>
          </w:p>
        </w:tc>
        <w:tc>
          <w:tcPr>
            <w:tcW w:w="2166" w:type="dxa"/>
            <w:tcBorders>
              <w:top w:val="nil"/>
              <w:left w:val="nil"/>
              <w:bottom w:val="nil"/>
              <w:right w:val="nil"/>
            </w:tcBorders>
            <w:noWrap/>
            <w:vAlign w:val="bottom"/>
            <w:hideMark/>
          </w:tcPr>
          <w:p w14:paraId="7D7F682D"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65000</w:t>
            </w:r>
          </w:p>
        </w:tc>
        <w:tc>
          <w:tcPr>
            <w:tcW w:w="111" w:type="dxa"/>
            <w:tcBorders>
              <w:top w:val="nil"/>
              <w:left w:val="nil"/>
              <w:bottom w:val="nil"/>
              <w:right w:val="nil"/>
            </w:tcBorders>
            <w:noWrap/>
            <w:vAlign w:val="bottom"/>
            <w:hideMark/>
          </w:tcPr>
          <w:p w14:paraId="1BCC7DB6"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p>
        </w:tc>
        <w:tc>
          <w:tcPr>
            <w:tcW w:w="960" w:type="dxa"/>
            <w:tcBorders>
              <w:top w:val="nil"/>
              <w:left w:val="nil"/>
              <w:bottom w:val="nil"/>
              <w:right w:val="nil"/>
            </w:tcBorders>
            <w:noWrap/>
            <w:vAlign w:val="bottom"/>
            <w:hideMark/>
          </w:tcPr>
          <w:p w14:paraId="0EFF703C"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78815B5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159A765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1B9ED8C"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4DAF1D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4E7BD69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7FE4156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C15F33F"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121A83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71FCB46A" w14:textId="77777777" w:rsidTr="008763AF">
        <w:trPr>
          <w:trHeight w:val="300"/>
        </w:trPr>
        <w:tc>
          <w:tcPr>
            <w:tcW w:w="1811" w:type="dxa"/>
            <w:tcBorders>
              <w:top w:val="nil"/>
              <w:left w:val="nil"/>
              <w:bottom w:val="nil"/>
              <w:right w:val="nil"/>
            </w:tcBorders>
            <w:noWrap/>
            <w:vAlign w:val="bottom"/>
            <w:hideMark/>
          </w:tcPr>
          <w:p w14:paraId="381340FC"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Kokku</w:t>
            </w:r>
          </w:p>
        </w:tc>
        <w:tc>
          <w:tcPr>
            <w:tcW w:w="115" w:type="dxa"/>
            <w:tcBorders>
              <w:top w:val="nil"/>
              <w:left w:val="nil"/>
              <w:bottom w:val="nil"/>
              <w:right w:val="nil"/>
            </w:tcBorders>
            <w:noWrap/>
            <w:vAlign w:val="bottom"/>
            <w:hideMark/>
          </w:tcPr>
          <w:p w14:paraId="55B0CAF4"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p>
        </w:tc>
        <w:tc>
          <w:tcPr>
            <w:tcW w:w="2166" w:type="dxa"/>
            <w:tcBorders>
              <w:top w:val="nil"/>
              <w:left w:val="nil"/>
              <w:bottom w:val="nil"/>
              <w:right w:val="nil"/>
            </w:tcBorders>
            <w:noWrap/>
            <w:vAlign w:val="bottom"/>
            <w:hideMark/>
          </w:tcPr>
          <w:p w14:paraId="7A66D073"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831000</w:t>
            </w:r>
          </w:p>
        </w:tc>
        <w:tc>
          <w:tcPr>
            <w:tcW w:w="111" w:type="dxa"/>
            <w:tcBorders>
              <w:top w:val="nil"/>
              <w:left w:val="nil"/>
              <w:bottom w:val="nil"/>
              <w:right w:val="nil"/>
            </w:tcBorders>
            <w:noWrap/>
            <w:vAlign w:val="bottom"/>
            <w:hideMark/>
          </w:tcPr>
          <w:p w14:paraId="5557B580"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p>
        </w:tc>
        <w:tc>
          <w:tcPr>
            <w:tcW w:w="960" w:type="dxa"/>
            <w:tcBorders>
              <w:top w:val="nil"/>
              <w:left w:val="nil"/>
              <w:bottom w:val="nil"/>
              <w:right w:val="nil"/>
            </w:tcBorders>
            <w:noWrap/>
            <w:vAlign w:val="bottom"/>
            <w:hideMark/>
          </w:tcPr>
          <w:p w14:paraId="20DAD4BB"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061FCCA0"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0CF9BC9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3C3C11E"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7D48FCF"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09DF85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74C7939"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BD336DB"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30EC3D69"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542CA581" w14:textId="77777777" w:rsidTr="008763AF">
        <w:trPr>
          <w:trHeight w:val="300"/>
        </w:trPr>
        <w:tc>
          <w:tcPr>
            <w:tcW w:w="1811" w:type="dxa"/>
            <w:tcBorders>
              <w:top w:val="nil"/>
              <w:left w:val="nil"/>
              <w:bottom w:val="nil"/>
              <w:right w:val="nil"/>
            </w:tcBorders>
            <w:noWrap/>
            <w:vAlign w:val="bottom"/>
            <w:hideMark/>
          </w:tcPr>
          <w:p w14:paraId="06A24D7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15" w:type="dxa"/>
            <w:tcBorders>
              <w:top w:val="nil"/>
              <w:left w:val="nil"/>
              <w:bottom w:val="nil"/>
              <w:right w:val="nil"/>
            </w:tcBorders>
            <w:noWrap/>
            <w:vAlign w:val="bottom"/>
            <w:hideMark/>
          </w:tcPr>
          <w:p w14:paraId="1B823A3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2166" w:type="dxa"/>
            <w:tcBorders>
              <w:top w:val="nil"/>
              <w:left w:val="nil"/>
              <w:bottom w:val="nil"/>
              <w:right w:val="nil"/>
            </w:tcBorders>
            <w:noWrap/>
            <w:vAlign w:val="bottom"/>
            <w:hideMark/>
          </w:tcPr>
          <w:p w14:paraId="6E0089CD"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11" w:type="dxa"/>
            <w:tcBorders>
              <w:top w:val="nil"/>
              <w:left w:val="nil"/>
              <w:bottom w:val="nil"/>
              <w:right w:val="nil"/>
            </w:tcBorders>
            <w:noWrap/>
            <w:vAlign w:val="bottom"/>
            <w:hideMark/>
          </w:tcPr>
          <w:p w14:paraId="25B3694C"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EDB4AC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DD05050"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BA60ADD"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5BFBBF9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3F1CEB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4E93E13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1A334D80"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D30F78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1A94A939"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07F0ADAE" w14:textId="77777777" w:rsidTr="008763AF">
        <w:trPr>
          <w:trHeight w:val="300"/>
        </w:trPr>
        <w:tc>
          <w:tcPr>
            <w:tcW w:w="1926" w:type="dxa"/>
            <w:gridSpan w:val="2"/>
            <w:tcBorders>
              <w:top w:val="nil"/>
              <w:left w:val="nil"/>
              <w:bottom w:val="nil"/>
              <w:right w:val="nil"/>
            </w:tcBorders>
            <w:noWrap/>
            <w:vAlign w:val="bottom"/>
            <w:hideMark/>
          </w:tcPr>
          <w:p w14:paraId="4FD62FBC"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Lisaks arvlemistoetus</w:t>
            </w:r>
          </w:p>
        </w:tc>
        <w:tc>
          <w:tcPr>
            <w:tcW w:w="2166" w:type="dxa"/>
            <w:tcBorders>
              <w:top w:val="nil"/>
              <w:left w:val="nil"/>
              <w:bottom w:val="nil"/>
              <w:right w:val="nil"/>
            </w:tcBorders>
            <w:noWrap/>
            <w:vAlign w:val="bottom"/>
            <w:hideMark/>
          </w:tcPr>
          <w:p w14:paraId="66F23262"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30000</w:t>
            </w:r>
          </w:p>
        </w:tc>
        <w:tc>
          <w:tcPr>
            <w:tcW w:w="111" w:type="dxa"/>
            <w:tcBorders>
              <w:top w:val="nil"/>
              <w:left w:val="nil"/>
              <w:bottom w:val="nil"/>
              <w:right w:val="nil"/>
            </w:tcBorders>
            <w:noWrap/>
            <w:vAlign w:val="bottom"/>
            <w:hideMark/>
          </w:tcPr>
          <w:p w14:paraId="7483D9CD" w14:textId="77777777" w:rsidR="008763AF" w:rsidRPr="008763AF" w:rsidRDefault="008763AF" w:rsidP="008763AF">
            <w:pPr>
              <w:spacing w:after="0" w:line="240" w:lineRule="auto"/>
              <w:jc w:val="right"/>
              <w:rPr>
                <w:rFonts w:ascii="Aptos Narrow" w:eastAsia="Times New Roman" w:hAnsi="Aptos Narrow" w:cs="Times New Roman"/>
                <w:color w:val="000000"/>
                <w:kern w:val="0"/>
                <w:sz w:val="22"/>
                <w:szCs w:val="22"/>
                <w:lang w:eastAsia="et-EE"/>
                <w14:ligatures w14:val="none"/>
              </w:rPr>
            </w:pPr>
          </w:p>
        </w:tc>
        <w:tc>
          <w:tcPr>
            <w:tcW w:w="960" w:type="dxa"/>
            <w:tcBorders>
              <w:top w:val="nil"/>
              <w:left w:val="nil"/>
              <w:bottom w:val="nil"/>
              <w:right w:val="nil"/>
            </w:tcBorders>
            <w:noWrap/>
            <w:vAlign w:val="bottom"/>
            <w:hideMark/>
          </w:tcPr>
          <w:p w14:paraId="0147858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2FD9A5C4"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4BB92C5E"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19E7E12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6FB5BD4E"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A2C4A4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00296F44"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509E3A66"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61334BD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6478D560" w14:textId="77777777" w:rsidTr="008763AF">
        <w:trPr>
          <w:trHeight w:val="300"/>
        </w:trPr>
        <w:tc>
          <w:tcPr>
            <w:tcW w:w="1811" w:type="dxa"/>
            <w:tcBorders>
              <w:top w:val="nil"/>
              <w:left w:val="nil"/>
              <w:bottom w:val="nil"/>
              <w:right w:val="nil"/>
            </w:tcBorders>
            <w:noWrap/>
            <w:vAlign w:val="bottom"/>
            <w:hideMark/>
          </w:tcPr>
          <w:p w14:paraId="37439F63"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15" w:type="dxa"/>
            <w:tcBorders>
              <w:top w:val="nil"/>
              <w:left w:val="nil"/>
              <w:bottom w:val="nil"/>
              <w:right w:val="nil"/>
            </w:tcBorders>
            <w:noWrap/>
            <w:vAlign w:val="bottom"/>
            <w:hideMark/>
          </w:tcPr>
          <w:p w14:paraId="3846752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2166" w:type="dxa"/>
            <w:tcBorders>
              <w:top w:val="nil"/>
              <w:left w:val="nil"/>
              <w:bottom w:val="nil"/>
              <w:right w:val="nil"/>
            </w:tcBorders>
            <w:noWrap/>
            <w:vAlign w:val="bottom"/>
            <w:hideMark/>
          </w:tcPr>
          <w:p w14:paraId="0208368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11" w:type="dxa"/>
            <w:tcBorders>
              <w:top w:val="nil"/>
              <w:left w:val="nil"/>
              <w:bottom w:val="nil"/>
              <w:right w:val="nil"/>
            </w:tcBorders>
            <w:noWrap/>
            <w:vAlign w:val="bottom"/>
            <w:hideMark/>
          </w:tcPr>
          <w:p w14:paraId="101F993B"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7461FEA"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48431652"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50BC181D"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5AF5DF9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258F492C"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04F6E1FF"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0E48B248"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15EC21F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1EDECD5B"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78696187" w14:textId="77777777" w:rsidTr="008763AF">
        <w:trPr>
          <w:trHeight w:val="300"/>
        </w:trPr>
        <w:tc>
          <w:tcPr>
            <w:tcW w:w="5163" w:type="dxa"/>
            <w:gridSpan w:val="5"/>
            <w:tcBorders>
              <w:top w:val="nil"/>
              <w:left w:val="nil"/>
              <w:bottom w:val="nil"/>
              <w:right w:val="nil"/>
            </w:tcBorders>
            <w:noWrap/>
            <w:vAlign w:val="bottom"/>
            <w:hideMark/>
          </w:tcPr>
          <w:p w14:paraId="0A9EC25C" w14:textId="16E0B2F5"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 xml:space="preserve">2027 aastal eeldatavasti jääb katmisel </w:t>
            </w:r>
            <w:r>
              <w:rPr>
                <w:rFonts w:ascii="Aptos Narrow" w:eastAsia="Times New Roman" w:hAnsi="Aptos Narrow" w:cs="Times New Roman"/>
                <w:color w:val="000000"/>
                <w:kern w:val="0"/>
                <w:sz w:val="22"/>
                <w:szCs w:val="22"/>
                <w:lang w:eastAsia="et-EE"/>
                <w14:ligatures w14:val="none"/>
              </w:rPr>
              <w:t xml:space="preserve">eelarvesse </w:t>
            </w:r>
            <w:r w:rsidRPr="008763AF">
              <w:rPr>
                <w:rFonts w:ascii="Aptos Narrow" w:eastAsia="Times New Roman" w:hAnsi="Aptos Narrow" w:cs="Times New Roman"/>
                <w:color w:val="000000"/>
                <w:kern w:val="0"/>
                <w:sz w:val="22"/>
                <w:szCs w:val="22"/>
                <w:lang w:eastAsia="et-EE"/>
                <w14:ligatures w14:val="none"/>
              </w:rPr>
              <w:t>-12000</w:t>
            </w:r>
            <w:r>
              <w:rPr>
                <w:rFonts w:ascii="Aptos Narrow" w:eastAsia="Times New Roman" w:hAnsi="Aptos Narrow" w:cs="Times New Roman"/>
                <w:color w:val="000000"/>
                <w:kern w:val="0"/>
                <w:sz w:val="22"/>
                <w:szCs w:val="22"/>
                <w:lang w:eastAsia="et-EE"/>
                <w14:ligatures w14:val="none"/>
              </w:rPr>
              <w:t xml:space="preserve"> eurot</w:t>
            </w:r>
          </w:p>
        </w:tc>
        <w:tc>
          <w:tcPr>
            <w:tcW w:w="1060" w:type="dxa"/>
            <w:tcBorders>
              <w:top w:val="nil"/>
              <w:left w:val="nil"/>
              <w:bottom w:val="nil"/>
              <w:right w:val="nil"/>
            </w:tcBorders>
            <w:noWrap/>
            <w:vAlign w:val="bottom"/>
            <w:hideMark/>
          </w:tcPr>
          <w:p w14:paraId="0792E7EA" w14:textId="77777777"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p>
        </w:tc>
        <w:tc>
          <w:tcPr>
            <w:tcW w:w="1060" w:type="dxa"/>
            <w:tcBorders>
              <w:top w:val="nil"/>
              <w:left w:val="nil"/>
              <w:bottom w:val="nil"/>
              <w:right w:val="nil"/>
            </w:tcBorders>
            <w:noWrap/>
            <w:vAlign w:val="bottom"/>
            <w:hideMark/>
          </w:tcPr>
          <w:p w14:paraId="29D7C118"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55177B54"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00E3158B"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22BE28AD"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742B2AA5"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1060" w:type="dxa"/>
            <w:tcBorders>
              <w:top w:val="nil"/>
              <w:left w:val="nil"/>
              <w:bottom w:val="nil"/>
              <w:right w:val="nil"/>
            </w:tcBorders>
            <w:noWrap/>
            <w:vAlign w:val="bottom"/>
            <w:hideMark/>
          </w:tcPr>
          <w:p w14:paraId="370FF151"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c>
          <w:tcPr>
            <w:tcW w:w="960" w:type="dxa"/>
            <w:tcBorders>
              <w:top w:val="nil"/>
              <w:left w:val="nil"/>
              <w:bottom w:val="nil"/>
              <w:right w:val="nil"/>
            </w:tcBorders>
            <w:noWrap/>
            <w:vAlign w:val="bottom"/>
            <w:hideMark/>
          </w:tcPr>
          <w:p w14:paraId="79A98BE9" w14:textId="77777777" w:rsidR="008763AF" w:rsidRPr="008763AF" w:rsidRDefault="008763AF" w:rsidP="008763AF">
            <w:pPr>
              <w:spacing w:after="0" w:line="240" w:lineRule="auto"/>
              <w:rPr>
                <w:rFonts w:ascii="Times New Roman" w:eastAsia="Times New Roman" w:hAnsi="Times New Roman" w:cs="Times New Roman"/>
                <w:kern w:val="0"/>
                <w:sz w:val="20"/>
                <w:szCs w:val="20"/>
                <w:lang w:eastAsia="et-EE"/>
                <w14:ligatures w14:val="none"/>
              </w:rPr>
            </w:pPr>
          </w:p>
        </w:tc>
      </w:tr>
      <w:tr w:rsidR="008763AF" w:rsidRPr="008763AF" w14:paraId="191CF377" w14:textId="77777777" w:rsidTr="008763AF">
        <w:trPr>
          <w:trHeight w:val="300"/>
        </w:trPr>
        <w:tc>
          <w:tcPr>
            <w:tcW w:w="13243" w:type="dxa"/>
            <w:gridSpan w:val="13"/>
            <w:tcBorders>
              <w:top w:val="nil"/>
              <w:left w:val="nil"/>
              <w:bottom w:val="nil"/>
              <w:right w:val="nil"/>
            </w:tcBorders>
            <w:noWrap/>
            <w:vAlign w:val="bottom"/>
            <w:hideMark/>
          </w:tcPr>
          <w:p w14:paraId="30DDF60B" w14:textId="77777777" w:rsid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Edasi jäävad arvlemise aluseks võetud andmed muutumatuks. Plussi peaks jõudma KOV 2030 aastaks,</w:t>
            </w:r>
          </w:p>
          <w:p w14:paraId="7DCF69DB" w14:textId="774BC553" w:rsidR="008763AF" w:rsidRPr="008763AF" w:rsidRDefault="008763AF" w:rsidP="008763AF">
            <w:pPr>
              <w:spacing w:after="0" w:line="240" w:lineRule="auto"/>
              <w:rPr>
                <w:rFonts w:ascii="Aptos Narrow" w:eastAsia="Times New Roman" w:hAnsi="Aptos Narrow" w:cs="Times New Roman"/>
                <w:color w:val="000000"/>
                <w:kern w:val="0"/>
                <w:sz w:val="22"/>
                <w:szCs w:val="22"/>
                <w:lang w:eastAsia="et-EE"/>
                <w14:ligatures w14:val="none"/>
              </w:rPr>
            </w:pPr>
            <w:r w:rsidRPr="008763AF">
              <w:rPr>
                <w:rFonts w:ascii="Aptos Narrow" w:eastAsia="Times New Roman" w:hAnsi="Aptos Narrow" w:cs="Times New Roman"/>
                <w:color w:val="000000"/>
                <w:kern w:val="0"/>
                <w:sz w:val="22"/>
                <w:szCs w:val="22"/>
                <w:lang w:eastAsia="et-EE"/>
                <w14:ligatures w14:val="none"/>
              </w:rPr>
              <w:t xml:space="preserve"> kui laste tegelik arv väheneb, siis varem.</w:t>
            </w:r>
          </w:p>
        </w:tc>
      </w:tr>
    </w:tbl>
    <w:p w14:paraId="6FCDB67C" w14:textId="77777777" w:rsidR="00CE002E" w:rsidRDefault="00CE002E"/>
    <w:sectPr w:rsidR="00CE0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141"/>
    <w:multiLevelType w:val="hybridMultilevel"/>
    <w:tmpl w:val="726611AC"/>
    <w:lvl w:ilvl="0" w:tplc="0425000B">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CA46A01"/>
    <w:multiLevelType w:val="hybridMultilevel"/>
    <w:tmpl w:val="10B8D73E"/>
    <w:lvl w:ilvl="0" w:tplc="04A0CA72">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20FC0A7F"/>
    <w:multiLevelType w:val="hybridMultilevel"/>
    <w:tmpl w:val="CCCA1CBE"/>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738942728">
    <w:abstractNumId w:val="1"/>
  </w:num>
  <w:num w:numId="2" w16cid:durableId="1621759573">
    <w:abstractNumId w:val="2"/>
  </w:num>
  <w:num w:numId="3" w16cid:durableId="151776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96"/>
    <w:rsid w:val="003A2D96"/>
    <w:rsid w:val="004423EA"/>
    <w:rsid w:val="0070689F"/>
    <w:rsid w:val="00715C3A"/>
    <w:rsid w:val="008763AF"/>
    <w:rsid w:val="00914B2C"/>
    <w:rsid w:val="00BD4DA9"/>
    <w:rsid w:val="00CE00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2979"/>
  <w15:chartTrackingRefBased/>
  <w15:docId w15:val="{AEAACA00-65DC-47BB-9142-B5C77F06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A2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A2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A2D9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A2D9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A2D9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A2D9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A2D9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A2D9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A2D9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A2D9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A2D9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A2D9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A2D9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A2D9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A2D9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A2D9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A2D9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A2D9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A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A2D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A2D9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A2D9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A2D96"/>
    <w:pPr>
      <w:spacing w:before="160"/>
      <w:jc w:val="center"/>
    </w:pPr>
    <w:rPr>
      <w:i/>
      <w:iCs/>
      <w:color w:val="404040" w:themeColor="text1" w:themeTint="BF"/>
    </w:rPr>
  </w:style>
  <w:style w:type="character" w:customStyle="1" w:styleId="TsitaatMrk">
    <w:name w:val="Tsitaat Märk"/>
    <w:basedOn w:val="Liguvaikefont"/>
    <w:link w:val="Tsitaat"/>
    <w:uiPriority w:val="29"/>
    <w:rsid w:val="003A2D96"/>
    <w:rPr>
      <w:i/>
      <w:iCs/>
      <w:color w:val="404040" w:themeColor="text1" w:themeTint="BF"/>
    </w:rPr>
  </w:style>
  <w:style w:type="paragraph" w:styleId="Loendilik">
    <w:name w:val="List Paragraph"/>
    <w:basedOn w:val="Normaallaad"/>
    <w:uiPriority w:val="34"/>
    <w:qFormat/>
    <w:rsid w:val="003A2D96"/>
    <w:pPr>
      <w:ind w:left="720"/>
      <w:contextualSpacing/>
    </w:pPr>
  </w:style>
  <w:style w:type="character" w:styleId="Selgeltmrgatavrhutus">
    <w:name w:val="Intense Emphasis"/>
    <w:basedOn w:val="Liguvaikefont"/>
    <w:uiPriority w:val="21"/>
    <w:qFormat/>
    <w:rsid w:val="003A2D96"/>
    <w:rPr>
      <w:i/>
      <w:iCs/>
      <w:color w:val="0F4761" w:themeColor="accent1" w:themeShade="BF"/>
    </w:rPr>
  </w:style>
  <w:style w:type="paragraph" w:styleId="Selgeltmrgatavtsitaat">
    <w:name w:val="Intense Quote"/>
    <w:basedOn w:val="Normaallaad"/>
    <w:next w:val="Normaallaad"/>
    <w:link w:val="SelgeltmrgatavtsitaatMrk"/>
    <w:uiPriority w:val="30"/>
    <w:qFormat/>
    <w:rsid w:val="003A2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A2D96"/>
    <w:rPr>
      <w:i/>
      <w:iCs/>
      <w:color w:val="0F4761" w:themeColor="accent1" w:themeShade="BF"/>
    </w:rPr>
  </w:style>
  <w:style w:type="character" w:styleId="Selgeltmrgatavviide">
    <w:name w:val="Intense Reference"/>
    <w:basedOn w:val="Liguvaikefont"/>
    <w:uiPriority w:val="32"/>
    <w:qFormat/>
    <w:rsid w:val="003A2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1062</Words>
  <Characters>6166</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Mõttus</dc:creator>
  <cp:keywords/>
  <dc:description/>
  <cp:lastModifiedBy>Külli Mõttus</cp:lastModifiedBy>
  <cp:revision>3</cp:revision>
  <dcterms:created xsi:type="dcterms:W3CDTF">2026-04-15T06:57:00Z</dcterms:created>
  <dcterms:modified xsi:type="dcterms:W3CDTF">2026-04-15T08:12:00Z</dcterms:modified>
</cp:coreProperties>
</file>