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91C5" w14:textId="067CC917" w:rsidR="00C51AAA" w:rsidRDefault="00C51AAA" w:rsidP="00C940B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47C">
        <w:rPr>
          <w:rFonts w:ascii="Times New Roman" w:hAnsi="Times New Roman" w:cs="Times New Roman"/>
          <w:sz w:val="24"/>
          <w:szCs w:val="24"/>
        </w:rPr>
        <w:tab/>
      </w:r>
      <w:r w:rsidRPr="007E447C">
        <w:rPr>
          <w:rFonts w:ascii="Times New Roman" w:hAnsi="Times New Roman" w:cs="Times New Roman"/>
          <w:sz w:val="24"/>
          <w:szCs w:val="24"/>
        </w:rPr>
        <w:tab/>
      </w:r>
      <w:r w:rsidRPr="007E447C">
        <w:rPr>
          <w:rFonts w:ascii="Times New Roman" w:hAnsi="Times New Roman" w:cs="Times New Roman"/>
          <w:sz w:val="24"/>
          <w:szCs w:val="24"/>
        </w:rPr>
        <w:tab/>
      </w:r>
      <w:r w:rsidRPr="007E447C">
        <w:rPr>
          <w:rFonts w:ascii="Times New Roman" w:hAnsi="Times New Roman" w:cs="Times New Roman"/>
          <w:sz w:val="24"/>
          <w:szCs w:val="24"/>
        </w:rPr>
        <w:tab/>
      </w:r>
      <w:r w:rsidRPr="007E447C">
        <w:rPr>
          <w:rFonts w:ascii="Times New Roman" w:hAnsi="Times New Roman" w:cs="Times New Roman"/>
          <w:sz w:val="24"/>
          <w:szCs w:val="24"/>
        </w:rPr>
        <w:tab/>
      </w:r>
      <w:r w:rsidRPr="007E447C">
        <w:rPr>
          <w:rFonts w:ascii="Times New Roman" w:hAnsi="Times New Roman" w:cs="Times New Roman"/>
          <w:sz w:val="24"/>
          <w:szCs w:val="24"/>
        </w:rPr>
        <w:tab/>
      </w:r>
      <w:r w:rsidRPr="007E447C">
        <w:rPr>
          <w:rFonts w:ascii="Times New Roman" w:hAnsi="Times New Roman" w:cs="Times New Roman"/>
          <w:sz w:val="24"/>
          <w:szCs w:val="24"/>
        </w:rPr>
        <w:tab/>
      </w:r>
      <w:r w:rsidRPr="007E447C">
        <w:rPr>
          <w:rFonts w:ascii="Times New Roman" w:hAnsi="Times New Roman" w:cs="Times New Roman"/>
          <w:sz w:val="24"/>
          <w:szCs w:val="24"/>
        </w:rPr>
        <w:tab/>
      </w:r>
      <w:r w:rsidR="00C940BD">
        <w:rPr>
          <w:rFonts w:ascii="Times New Roman" w:hAnsi="Times New Roman" w:cs="Times New Roman"/>
          <w:sz w:val="24"/>
          <w:szCs w:val="24"/>
        </w:rPr>
        <w:tab/>
      </w:r>
      <w:r w:rsidR="00C940BD">
        <w:rPr>
          <w:rFonts w:ascii="Times New Roman" w:hAnsi="Times New Roman" w:cs="Times New Roman"/>
          <w:sz w:val="24"/>
          <w:szCs w:val="24"/>
        </w:rPr>
        <w:tab/>
      </w:r>
      <w:r w:rsidR="00C940BD">
        <w:rPr>
          <w:rFonts w:ascii="Times New Roman" w:hAnsi="Times New Roman" w:cs="Times New Roman"/>
          <w:sz w:val="24"/>
          <w:szCs w:val="24"/>
        </w:rPr>
        <w:tab/>
      </w:r>
      <w:r w:rsidR="00C940BD">
        <w:rPr>
          <w:rFonts w:ascii="Times New Roman" w:hAnsi="Times New Roman" w:cs="Times New Roman"/>
          <w:sz w:val="24"/>
          <w:szCs w:val="24"/>
        </w:rPr>
        <w:tab/>
      </w:r>
      <w:r w:rsidR="00C940BD">
        <w:rPr>
          <w:rFonts w:ascii="Times New Roman" w:hAnsi="Times New Roman" w:cs="Times New Roman"/>
          <w:sz w:val="24"/>
          <w:szCs w:val="24"/>
        </w:rPr>
        <w:tab/>
        <w:t>Lisa 1</w:t>
      </w:r>
    </w:p>
    <w:p w14:paraId="06F22784" w14:textId="724D815C" w:rsidR="00C940BD" w:rsidRDefault="00C940BD" w:rsidP="00C940B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Mulgi Vallavolikogu</w:t>
      </w:r>
    </w:p>
    <w:p w14:paraId="24377504" w14:textId="540D3E68" w:rsidR="00C940BD" w:rsidRDefault="00C940BD" w:rsidP="00C940B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 märtsi 2024. a</w:t>
      </w:r>
    </w:p>
    <w:p w14:paraId="35F0517C" w14:textId="643BB64F" w:rsidR="00C940BD" w:rsidRPr="007E447C" w:rsidRDefault="00C940BD" w:rsidP="00C940B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otsusele nr </w:t>
      </w:r>
    </w:p>
    <w:p w14:paraId="4CB404C3" w14:textId="77777777" w:rsidR="00C51AAA" w:rsidRPr="007E447C" w:rsidRDefault="00C51AAA" w:rsidP="00C51A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790A5" w14:textId="77777777" w:rsidR="00C51AAA" w:rsidRPr="007E447C" w:rsidRDefault="00C51AAA" w:rsidP="00C51AAA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2C4F3" w14:textId="2A68D220" w:rsidR="00C51AAA" w:rsidRPr="00C940BD" w:rsidRDefault="00C940BD" w:rsidP="00C940BD">
      <w:pPr>
        <w:shd w:val="clear" w:color="auto" w:fill="FFFFFF" w:themeFill="background1"/>
        <w:tabs>
          <w:tab w:val="left" w:pos="0"/>
          <w:tab w:val="left" w:pos="623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Viljandi mnt 1 hoone kolmanda ja neljanda korruse</w:t>
      </w:r>
    </w:p>
    <w:p w14:paraId="0C2E48B3" w14:textId="6A87EEFB" w:rsidR="00C51AAA" w:rsidRPr="00C940BD" w:rsidRDefault="00C940BD" w:rsidP="00C940B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0BD">
        <w:rPr>
          <w:rFonts w:ascii="Times New Roman" w:hAnsi="Times New Roman" w:cs="Times New Roman"/>
          <w:b/>
          <w:bCs/>
          <w:sz w:val="24"/>
          <w:szCs w:val="24"/>
        </w:rPr>
        <w:t>hoonestusõiguse seadmise tingimused</w:t>
      </w:r>
    </w:p>
    <w:p w14:paraId="499C3F82" w14:textId="77777777" w:rsidR="00C51AAA" w:rsidRDefault="00C51AAA" w:rsidP="00C51A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401A7" w14:textId="1BBA0BB0" w:rsidR="00C51AAA" w:rsidRPr="00C51AAA" w:rsidRDefault="00C51AAA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Seada hoonestusõigus Mulgi valla munitsipaalomandis oleva kinnistu Viljandi mnt 1, Karksi-Nuia linn, Mulgi vald (katastri tunnus 28701:002:0052) hoone kolmanda (258,4 m</w:t>
      </w:r>
      <w:r w:rsidRPr="00C51A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1AAA">
        <w:rPr>
          <w:rFonts w:ascii="Times New Roman" w:hAnsi="Times New Roman" w:cs="Times New Roman"/>
          <w:sz w:val="24"/>
          <w:szCs w:val="24"/>
        </w:rPr>
        <w:t>) ja neljanda (141,2 m</w:t>
      </w:r>
      <w:r w:rsidRPr="00C51A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1AAA">
        <w:rPr>
          <w:rFonts w:ascii="Times New Roman" w:hAnsi="Times New Roman" w:cs="Times New Roman"/>
          <w:sz w:val="24"/>
          <w:szCs w:val="24"/>
        </w:rPr>
        <w:t xml:space="preserve">) korruse ruumide kasutuselevõtuks </w:t>
      </w:r>
      <w:r w:rsidR="0031418D">
        <w:rPr>
          <w:rFonts w:ascii="Times New Roman" w:hAnsi="Times New Roman" w:cs="Times New Roman"/>
          <w:sz w:val="24"/>
          <w:szCs w:val="24"/>
        </w:rPr>
        <w:t>läbirääkimistega</w:t>
      </w:r>
      <w:r w:rsidRPr="00C51AAA">
        <w:rPr>
          <w:rFonts w:ascii="Times New Roman" w:hAnsi="Times New Roman" w:cs="Times New Roman"/>
          <w:sz w:val="24"/>
          <w:szCs w:val="24"/>
        </w:rPr>
        <w:t xml:space="preserve"> </w:t>
      </w:r>
      <w:r w:rsidR="00C940BD">
        <w:rPr>
          <w:rFonts w:ascii="Times New Roman" w:hAnsi="Times New Roman" w:cs="Times New Roman"/>
          <w:sz w:val="24"/>
          <w:szCs w:val="24"/>
        </w:rPr>
        <w:t>pakkumise teel</w:t>
      </w:r>
      <w:r w:rsidRPr="00C51AAA">
        <w:rPr>
          <w:rFonts w:ascii="Times New Roman" w:hAnsi="Times New Roman" w:cs="Times New Roman"/>
          <w:sz w:val="24"/>
          <w:szCs w:val="24"/>
        </w:rPr>
        <w:t>.</w:t>
      </w:r>
    </w:p>
    <w:p w14:paraId="39584BCB" w14:textId="752E2014" w:rsidR="00C51AAA" w:rsidRPr="00C51AAA" w:rsidRDefault="00C51AAA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Hoonestusõiguse seadmise eesmärk on läbi erakapitali leida parim rakendus Viljandi mnt 1 hoone kolmanda ja neljanda korruse ruumide kasutuselevõ</w:t>
      </w:r>
      <w:r w:rsidR="0028598E">
        <w:rPr>
          <w:rFonts w:ascii="Times New Roman" w:hAnsi="Times New Roman" w:cs="Times New Roman"/>
          <w:sz w:val="24"/>
          <w:szCs w:val="24"/>
        </w:rPr>
        <w:t>tmiseks.</w:t>
      </w:r>
    </w:p>
    <w:p w14:paraId="16E0EF93" w14:textId="376A4D97" w:rsidR="00C51AAA" w:rsidRPr="006B544D" w:rsidRDefault="00C51AAA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 xml:space="preserve">Hoonestusõigus </w:t>
      </w:r>
      <w:r w:rsidR="00C940BD">
        <w:rPr>
          <w:rFonts w:ascii="Times New Roman" w:hAnsi="Times New Roman" w:cs="Times New Roman"/>
          <w:sz w:val="24"/>
          <w:szCs w:val="24"/>
        </w:rPr>
        <w:t xml:space="preserve">seadmise leping sõlmitakse </w:t>
      </w:r>
      <w:r w:rsidRPr="00C51AAA">
        <w:rPr>
          <w:rFonts w:ascii="Times New Roman" w:hAnsi="Times New Roman" w:cs="Times New Roman"/>
          <w:sz w:val="24"/>
          <w:szCs w:val="24"/>
        </w:rPr>
        <w:t>konkursi võitjaga tähtajaga 40 aastat</w:t>
      </w:r>
      <w:r w:rsidR="00F21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Hoonestajal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ei teki hoonestusõiguse tingimuste täitmisel õigust hoonestusõigusega koormatud ruumide ostmiseks. </w:t>
      </w:r>
      <w:r w:rsidR="00C02EB3" w:rsidRPr="006B544D">
        <w:rPr>
          <w:rFonts w:ascii="Times New Roman" w:hAnsi="Times New Roman" w:cs="Times New Roman"/>
          <w:sz w:val="24"/>
          <w:szCs w:val="24"/>
        </w:rPr>
        <w:t xml:space="preserve">Tähtaja saabumisel </w:t>
      </w:r>
      <w:r w:rsidR="006C12E8" w:rsidRPr="006B544D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6C12E8" w:rsidRPr="006B544D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="006C12E8" w:rsidRPr="006B544D">
        <w:rPr>
          <w:rFonts w:ascii="Times New Roman" w:hAnsi="Times New Roman" w:cs="Times New Roman"/>
          <w:sz w:val="24"/>
          <w:szCs w:val="24"/>
        </w:rPr>
        <w:t xml:space="preserve"> ettepanekul õigus hoonestusõigust pikendada</w:t>
      </w:r>
      <w:r w:rsidR="007C1887" w:rsidRPr="006B544D">
        <w:rPr>
          <w:rFonts w:ascii="Times New Roman" w:hAnsi="Times New Roman" w:cs="Times New Roman"/>
          <w:sz w:val="24"/>
          <w:szCs w:val="24"/>
        </w:rPr>
        <w:t xml:space="preserve"> samadel tingimustel</w:t>
      </w:r>
      <w:r w:rsidR="00737163" w:rsidRPr="006B544D">
        <w:rPr>
          <w:rFonts w:ascii="Times New Roman" w:hAnsi="Times New Roman" w:cs="Times New Roman"/>
          <w:sz w:val="24"/>
          <w:szCs w:val="24"/>
        </w:rPr>
        <w:t xml:space="preserve"> hoone eeldatava püsimise aja lõpuni</w:t>
      </w:r>
      <w:r w:rsidR="00595C9A">
        <w:rPr>
          <w:rFonts w:ascii="Times New Roman" w:hAnsi="Times New Roman" w:cs="Times New Roman"/>
          <w:sz w:val="24"/>
          <w:szCs w:val="24"/>
        </w:rPr>
        <w:t>,</w:t>
      </w:r>
      <w:r w:rsidR="00737163" w:rsidRPr="006B544D">
        <w:rPr>
          <w:rFonts w:ascii="Times New Roman" w:hAnsi="Times New Roman" w:cs="Times New Roman"/>
          <w:sz w:val="24"/>
          <w:szCs w:val="24"/>
        </w:rPr>
        <w:t xml:space="preserve"> kuid mitte rohkem kui</w:t>
      </w:r>
      <w:r w:rsidR="006B544D" w:rsidRPr="006B544D">
        <w:rPr>
          <w:rFonts w:ascii="Times New Roman" w:hAnsi="Times New Roman" w:cs="Times New Roman"/>
          <w:sz w:val="24"/>
          <w:szCs w:val="24"/>
        </w:rPr>
        <w:t xml:space="preserve"> 99 aastaks.</w:t>
      </w:r>
      <w:r w:rsidRPr="006B5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71128" w14:textId="77777777" w:rsidR="00C51AAA" w:rsidRPr="00C51AAA" w:rsidRDefault="00C51AAA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Hoonestusõiguse seadmise tingimused:</w:t>
      </w:r>
    </w:p>
    <w:p w14:paraId="52B2FBD4" w14:textId="463DC237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hoonestusõigus seatakse hoone kolmandale ja neljandale korrusele vastavalt hoonestusõiguse konkursil parima pakku</w:t>
      </w:r>
      <w:r w:rsidR="002F6616">
        <w:rPr>
          <w:rFonts w:ascii="Times New Roman" w:hAnsi="Times New Roman" w:cs="Times New Roman"/>
          <w:sz w:val="24"/>
          <w:szCs w:val="24"/>
        </w:rPr>
        <w:t>mise</w:t>
      </w:r>
      <w:r w:rsidRPr="00C51AAA">
        <w:rPr>
          <w:rFonts w:ascii="Times New Roman" w:hAnsi="Times New Roman" w:cs="Times New Roman"/>
          <w:sz w:val="24"/>
          <w:szCs w:val="24"/>
        </w:rPr>
        <w:t xml:space="preserve"> teinud ettevõtjaga. Projekteerimis- ja ehitustööd peavad olema teostatud vastavalt Eesti vabariigis kehtivatele tehnilistele normidele, </w:t>
      </w:r>
      <w:r w:rsidR="00952782" w:rsidRPr="00C51AAA">
        <w:rPr>
          <w:rFonts w:ascii="Times New Roman" w:hAnsi="Times New Roman" w:cs="Times New Roman"/>
          <w:sz w:val="24"/>
          <w:szCs w:val="24"/>
        </w:rPr>
        <w:t>standarditele</w:t>
      </w:r>
      <w:r w:rsidRPr="00C51AAA">
        <w:rPr>
          <w:rFonts w:ascii="Times New Roman" w:hAnsi="Times New Roman" w:cs="Times New Roman"/>
          <w:sz w:val="24"/>
          <w:szCs w:val="24"/>
        </w:rPr>
        <w:t xml:space="preserve"> ja õigusaktidele</w:t>
      </w:r>
      <w:r w:rsidR="00900094">
        <w:rPr>
          <w:rFonts w:ascii="Times New Roman" w:hAnsi="Times New Roman" w:cs="Times New Roman"/>
          <w:sz w:val="24"/>
          <w:szCs w:val="24"/>
        </w:rPr>
        <w:t>;</w:t>
      </w:r>
    </w:p>
    <w:p w14:paraId="28950AD0" w14:textId="6A3D7DD6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kohustub peale hoonestusõiguse lepingu sõlmimisest ühe aasta jooksul taotlema ehitusloa kolmanda ja neljanda korruse rekonstrueerimiseks.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peab lõpetama ehitustööd, vormistama kasutusload ja avama korrused hiljemalt kolme aasta jooksul hoonestusõiguse seadmisest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7D3817" w14:textId="28BD37CD" w:rsidR="00900094" w:rsidRPr="00900094" w:rsidRDefault="00900094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094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kohustub paigaldama hoonesse lifti;</w:t>
      </w:r>
    </w:p>
    <w:p w14:paraId="0A39E61C" w14:textId="5BCA070C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 korrused tuleb rekonstrueerida või ehitada hea ehitustava ning ehitamist ja ehitusprojekti käsitlevate õigusaktide kohaselt;</w:t>
      </w:r>
    </w:p>
    <w:p w14:paraId="51B05643" w14:textId="77777777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hoonestuskohustuse mittetäitmisel on omanikul õigus nõuda hoonestusõiguse lõpetamist ja kinnisturegistri kande kustutamist;</w:t>
      </w:r>
    </w:p>
    <w:p w14:paraId="14739E14" w14:textId="1C8AE300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k</w:t>
      </w:r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ui </w:t>
      </w:r>
      <w:proofErr w:type="spellStart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hoonestaja</w:t>
      </w:r>
      <w:proofErr w:type="spellEnd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ei ole hoonestusõiguse seadmisel kokkulepitud tähtaja jooksul</w:t>
      </w:r>
      <w:r w:rsidR="009000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paigaldanud </w:t>
      </w:r>
      <w:r w:rsidR="0028598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hoonesse </w:t>
      </w:r>
      <w:r w:rsidR="009000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lifti ja/või ei ole </w:t>
      </w:r>
      <w:r w:rsidR="0028598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välja ehitanud </w:t>
      </w:r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kolmandale ja neljandale korrusele nõutavaid ruume või kui </w:t>
      </w:r>
      <w:proofErr w:type="spellStart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hoonestaja</w:t>
      </w:r>
      <w:proofErr w:type="spellEnd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rikub oluliselt oma lepingulisi kohustusi, on kinnisasja omanikul õigus nõuda </w:t>
      </w:r>
      <w:proofErr w:type="spellStart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hoonestajalt</w:t>
      </w:r>
      <w:proofErr w:type="spellEnd"/>
      <w:r w:rsidRPr="00C51AA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nõusolekut hoonestusõiguse enda nimele kandmiseks (omanikule langemine);</w:t>
      </w:r>
    </w:p>
    <w:p w14:paraId="21BDFB03" w14:textId="77777777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kinnistu omanik ei vastuta ehituslubade ja kasutusloa väljastamise eest;</w:t>
      </w:r>
    </w:p>
    <w:p w14:paraId="2D4D3760" w14:textId="77777777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tasub kõik hoonestusõiguse seadmisega seatud kulud;</w:t>
      </w:r>
    </w:p>
    <w:p w14:paraId="7B873715" w14:textId="77777777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hoonestusõigus ei laiene liinidele, trassidele ja muudele kommunikatsioonidele, mis läbivad kinnistut;</w:t>
      </w:r>
    </w:p>
    <w:p w14:paraId="3340AA7C" w14:textId="77777777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 xml:space="preserve">hoonestusõiguse tingimuste täitmata jätmisel tasub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leppetrahvi </w:t>
      </w:r>
      <w:r w:rsidRPr="00741A38">
        <w:rPr>
          <w:rFonts w:ascii="Times New Roman" w:hAnsi="Times New Roman" w:cs="Times New Roman"/>
          <w:sz w:val="24"/>
          <w:szCs w:val="24"/>
        </w:rPr>
        <w:t>5000</w:t>
      </w:r>
      <w:r w:rsidRPr="00C51AAA">
        <w:rPr>
          <w:rFonts w:ascii="Times New Roman" w:hAnsi="Times New Roman" w:cs="Times New Roman"/>
          <w:sz w:val="24"/>
          <w:szCs w:val="24"/>
        </w:rPr>
        <w:t xml:space="preserve"> eurot ning kinnisasja omanikul on õigus nõuda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hoonestajalt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nõusolekut hoonestusõiguse enda nimele kandmiseks (omanikule langemine);</w:t>
      </w:r>
    </w:p>
    <w:p w14:paraId="7F885991" w14:textId="3775E0A5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 xml:space="preserve">hoonestusõiguse lõppemisel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hoonestajale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</w:t>
      </w:r>
      <w:r w:rsidR="0028598E">
        <w:rPr>
          <w:rFonts w:ascii="Times New Roman" w:hAnsi="Times New Roman" w:cs="Times New Roman"/>
          <w:sz w:val="24"/>
          <w:szCs w:val="24"/>
        </w:rPr>
        <w:t>rekonstrueeritud hoone osa</w:t>
      </w:r>
      <w:r w:rsidRPr="00C51AAA">
        <w:rPr>
          <w:rFonts w:ascii="Times New Roman" w:hAnsi="Times New Roman" w:cs="Times New Roman"/>
          <w:sz w:val="24"/>
          <w:szCs w:val="24"/>
        </w:rPr>
        <w:t xml:space="preserve"> eest hüvitist ei maksta;</w:t>
      </w:r>
    </w:p>
    <w:p w14:paraId="41E17714" w14:textId="0EDB8998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1AAA">
        <w:rPr>
          <w:rFonts w:ascii="Times New Roman" w:hAnsi="Times New Roman" w:cs="Times New Roman"/>
          <w:sz w:val="24"/>
          <w:szCs w:val="24"/>
        </w:rPr>
        <w:lastRenderedPageBreak/>
        <w:t>hoonestajal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on kohustus oma kulul kindlustada </w:t>
      </w:r>
      <w:r w:rsidR="00675476">
        <w:rPr>
          <w:rFonts w:ascii="Times New Roman" w:hAnsi="Times New Roman" w:cs="Times New Roman"/>
          <w:sz w:val="24"/>
          <w:szCs w:val="24"/>
        </w:rPr>
        <w:t>hoone osa</w:t>
      </w:r>
      <w:r w:rsidRPr="00C51AAA">
        <w:rPr>
          <w:rFonts w:ascii="Times New Roman" w:hAnsi="Times New Roman" w:cs="Times New Roman"/>
          <w:sz w:val="24"/>
          <w:szCs w:val="24"/>
        </w:rPr>
        <w:t xml:space="preserve"> ja esitada hoonestusõiguse seadjale kindlustuspoliisid ja kindlustingimuste ärakirjad. Kindlustuskohustus kantakse lepingu alusel kinnistusraamatusse;</w:t>
      </w:r>
    </w:p>
    <w:p w14:paraId="2A0D5214" w14:textId="14E61EBC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 xml:space="preserve">hoonestusõiguse oluliseks osaks oleva hoone hävimisel või osalisel kahjustamisel on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hoonestajal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kohustus hoone omal kulul taasta</w:t>
      </w:r>
      <w:r w:rsidR="00A20BAE">
        <w:rPr>
          <w:rFonts w:ascii="Times New Roman" w:hAnsi="Times New Roman" w:cs="Times New Roman"/>
          <w:sz w:val="24"/>
          <w:szCs w:val="24"/>
        </w:rPr>
        <w:t>d</w:t>
      </w:r>
      <w:r w:rsidRPr="00C51AAA">
        <w:rPr>
          <w:rFonts w:ascii="Times New Roman" w:hAnsi="Times New Roman" w:cs="Times New Roman"/>
          <w:sz w:val="24"/>
          <w:szCs w:val="24"/>
        </w:rPr>
        <w:t>a ühe aasta jooksul;</w:t>
      </w:r>
    </w:p>
    <w:p w14:paraId="6D6D2B18" w14:textId="77777777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hoonestajal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on kohustus tagada olemasoleva hoone ohutus;</w:t>
      </w:r>
    </w:p>
    <w:p w14:paraId="3B05A73A" w14:textId="7767E1AE" w:rsidR="00C51AAA" w:rsidRPr="00C51AAA" w:rsidRDefault="00C51AAA" w:rsidP="00C51AAA">
      <w:pPr>
        <w:pStyle w:val="Loendilik"/>
        <w:numPr>
          <w:ilvl w:val="1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 xml:space="preserve">hoonestusõiguse aastatasu alghind on </w:t>
      </w:r>
      <w:r w:rsidR="000402F9">
        <w:rPr>
          <w:rFonts w:ascii="Times New Roman" w:hAnsi="Times New Roman" w:cs="Times New Roman"/>
          <w:sz w:val="24"/>
          <w:szCs w:val="24"/>
        </w:rPr>
        <w:t>1200 eurot aastas</w:t>
      </w:r>
      <w:r w:rsidRPr="00C51AAA">
        <w:rPr>
          <w:rFonts w:ascii="Times New Roman" w:hAnsi="Times New Roman" w:cs="Times New Roman"/>
          <w:sz w:val="24"/>
          <w:szCs w:val="24"/>
        </w:rPr>
        <w:t>, mille suurus vaadatakse igal aastal üle tarbijahinnaindeksi muutuse alusel.</w:t>
      </w:r>
    </w:p>
    <w:p w14:paraId="08B8FEDA" w14:textId="4DFA8A30" w:rsidR="00C51AAA" w:rsidRPr="00C51AAA" w:rsidRDefault="00C51AAA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Hoonestusõiguse võõrandamisel või koormamisel piiratud asjaõigusega kolmandate isikute kasuks on vajalik hoone</w:t>
      </w:r>
      <w:r w:rsidR="00FD2FCB">
        <w:rPr>
          <w:rFonts w:ascii="Times New Roman" w:hAnsi="Times New Roman" w:cs="Times New Roman"/>
          <w:sz w:val="24"/>
          <w:szCs w:val="24"/>
        </w:rPr>
        <w:t xml:space="preserve"> </w:t>
      </w:r>
      <w:r w:rsidRPr="00C51AAA">
        <w:rPr>
          <w:rFonts w:ascii="Times New Roman" w:hAnsi="Times New Roman" w:cs="Times New Roman"/>
          <w:sz w:val="24"/>
          <w:szCs w:val="24"/>
        </w:rPr>
        <w:t>omaniku nõusolek. Hoonestusõiguse võõrandamisel hoone omaniku nõusolekul kolmandale isikule on hoone omanikul õigus nõuda kõigi lepingus märgitud võlaõiguslike kokkulepete ülevõtmist hoonestusõiguse omandaja poolt.</w:t>
      </w:r>
    </w:p>
    <w:p w14:paraId="6D2FDDE3" w14:textId="77777777" w:rsidR="00C51AAA" w:rsidRPr="00C51AAA" w:rsidRDefault="00C51AAA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>Hoonestusõiguse lõppemisel hoonestusõiguse tähtaja saabumisel jäävad hoonestusõiguse alusel ehitatud ruumid hoone oluliseks osaks.</w:t>
      </w:r>
    </w:p>
    <w:p w14:paraId="00A49191" w14:textId="70A7C1F9" w:rsidR="00C51AAA" w:rsidRPr="00A92119" w:rsidRDefault="00C51AAA" w:rsidP="00C51AAA">
      <w:pPr>
        <w:pStyle w:val="Loendilik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AA">
        <w:rPr>
          <w:rFonts w:ascii="Times New Roman" w:hAnsi="Times New Roman" w:cs="Times New Roman"/>
          <w:sz w:val="24"/>
          <w:szCs w:val="24"/>
        </w:rPr>
        <w:t xml:space="preserve">Hoonestusõiguse tähtaja saabumisel ei maksa hoonestusõiguse seadja </w:t>
      </w:r>
      <w:proofErr w:type="spellStart"/>
      <w:r w:rsidRPr="00C51AAA">
        <w:rPr>
          <w:rFonts w:ascii="Times New Roman" w:hAnsi="Times New Roman" w:cs="Times New Roman"/>
          <w:sz w:val="24"/>
          <w:szCs w:val="24"/>
        </w:rPr>
        <w:t>hoonestajale</w:t>
      </w:r>
      <w:proofErr w:type="spellEnd"/>
      <w:r w:rsidRPr="00C51AAA">
        <w:rPr>
          <w:rFonts w:ascii="Times New Roman" w:hAnsi="Times New Roman" w:cs="Times New Roman"/>
          <w:sz w:val="24"/>
          <w:szCs w:val="24"/>
        </w:rPr>
        <w:t xml:space="preserve"> hoone</w:t>
      </w:r>
      <w:r w:rsidR="0028598E">
        <w:rPr>
          <w:rFonts w:ascii="Times New Roman" w:hAnsi="Times New Roman" w:cs="Times New Roman"/>
          <w:sz w:val="24"/>
          <w:szCs w:val="24"/>
        </w:rPr>
        <w:t xml:space="preserve">s rekonstrueeritud </w:t>
      </w:r>
      <w:r w:rsidRPr="00C51AAA">
        <w:rPr>
          <w:rFonts w:ascii="Times New Roman" w:hAnsi="Times New Roman" w:cs="Times New Roman"/>
          <w:sz w:val="24"/>
          <w:szCs w:val="24"/>
        </w:rPr>
        <w:t>ruumide eest hüvitist.</w:t>
      </w:r>
    </w:p>
    <w:p w14:paraId="4471298A" w14:textId="77777777" w:rsidR="00C51AAA" w:rsidRDefault="00C51AAA" w:rsidP="00C51AAA">
      <w:pPr>
        <w:shd w:val="clear" w:color="auto" w:fill="FFFFFF" w:themeFill="background1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14:paraId="44536B82" w14:textId="77777777" w:rsidR="00C51AAA" w:rsidRDefault="00C51AAA" w:rsidP="00C51AAA">
      <w:pPr>
        <w:shd w:val="clear" w:color="auto" w:fill="FFFFFF" w:themeFill="background1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14:paraId="4F5039AF" w14:textId="77777777" w:rsidR="00C51AAA" w:rsidRDefault="00C51AAA" w:rsidP="00C51AAA">
      <w:pPr>
        <w:shd w:val="clear" w:color="auto" w:fill="FFFFFF" w:themeFill="background1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14:paraId="53C1D826" w14:textId="387B2E39" w:rsidR="00C51AAA" w:rsidRPr="007E447C" w:rsidRDefault="00C51AAA" w:rsidP="00C51A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5209F" w14:textId="77777777" w:rsidR="009318DA" w:rsidRDefault="009318DA" w:rsidP="00C51AAA">
      <w:pPr>
        <w:jc w:val="both"/>
      </w:pPr>
    </w:p>
    <w:sectPr w:rsidR="009318DA" w:rsidSect="0074041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multilevel"/>
    <w:tmpl w:val="60D2CB30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96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32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046" w:hanging="1800"/>
      </w:pPr>
      <w:rPr>
        <w:rFonts w:hint="default"/>
        <w:b w:val="0"/>
      </w:r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AA"/>
    <w:rsid w:val="000402F9"/>
    <w:rsid w:val="0028598E"/>
    <w:rsid w:val="002F6616"/>
    <w:rsid w:val="0031418D"/>
    <w:rsid w:val="003F4FE9"/>
    <w:rsid w:val="003F5301"/>
    <w:rsid w:val="00434DF0"/>
    <w:rsid w:val="004D6B2B"/>
    <w:rsid w:val="00595C9A"/>
    <w:rsid w:val="005C769D"/>
    <w:rsid w:val="0061306F"/>
    <w:rsid w:val="00662E02"/>
    <w:rsid w:val="00675476"/>
    <w:rsid w:val="006B544D"/>
    <w:rsid w:val="006C12E8"/>
    <w:rsid w:val="00717338"/>
    <w:rsid w:val="007250B0"/>
    <w:rsid w:val="00737163"/>
    <w:rsid w:val="00740412"/>
    <w:rsid w:val="00741A38"/>
    <w:rsid w:val="00776366"/>
    <w:rsid w:val="007C1887"/>
    <w:rsid w:val="008A0A27"/>
    <w:rsid w:val="00900094"/>
    <w:rsid w:val="009318DA"/>
    <w:rsid w:val="00952782"/>
    <w:rsid w:val="009F6D22"/>
    <w:rsid w:val="00A20BAE"/>
    <w:rsid w:val="00A92119"/>
    <w:rsid w:val="00AD0C72"/>
    <w:rsid w:val="00B00DC2"/>
    <w:rsid w:val="00B508B8"/>
    <w:rsid w:val="00B604D0"/>
    <w:rsid w:val="00C02EB3"/>
    <w:rsid w:val="00C51AAA"/>
    <w:rsid w:val="00C940BD"/>
    <w:rsid w:val="00C97B40"/>
    <w:rsid w:val="00CE1A07"/>
    <w:rsid w:val="00EF3D64"/>
    <w:rsid w:val="00EF45A1"/>
    <w:rsid w:val="00F21EC6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CB3E"/>
  <w15:chartTrackingRefBased/>
  <w15:docId w15:val="{4757EE1A-51AE-4B5C-916B-C00366D6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51AAA"/>
    <w:pPr>
      <w:spacing w:after="200" w:line="276" w:lineRule="auto"/>
    </w:pPr>
    <w:rPr>
      <w:kern w:val="0"/>
      <w:lang w:val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5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Lepik</dc:creator>
  <cp:keywords/>
  <dc:description/>
  <cp:lastModifiedBy>Inge Dobrus</cp:lastModifiedBy>
  <cp:revision>4</cp:revision>
  <dcterms:created xsi:type="dcterms:W3CDTF">2024-03-11T14:37:00Z</dcterms:created>
  <dcterms:modified xsi:type="dcterms:W3CDTF">2024-03-12T11:34:00Z</dcterms:modified>
</cp:coreProperties>
</file>