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B7AF" w14:textId="12C8A3DD" w:rsidR="001F7831" w:rsidRPr="001F7831" w:rsidRDefault="001F7831" w:rsidP="001F7831">
      <w:pPr>
        <w:spacing w:after="0"/>
        <w:rPr>
          <w:b/>
          <w:bCs/>
          <w:lang w:val="et-EE"/>
        </w:rPr>
      </w:pPr>
      <w:r w:rsidRPr="001F7831">
        <w:rPr>
          <w:b/>
          <w:bCs/>
          <w:lang w:val="et-EE"/>
        </w:rPr>
        <w:t>Seletuskiri</w:t>
      </w:r>
    </w:p>
    <w:p w14:paraId="383B8615" w14:textId="10DE5870" w:rsidR="001F7831" w:rsidRDefault="001F7831" w:rsidP="001F7831">
      <w:pPr>
        <w:spacing w:after="0"/>
        <w:rPr>
          <w:u w:val="single"/>
          <w:lang w:val="et-EE"/>
        </w:rPr>
      </w:pPr>
      <w:r>
        <w:rPr>
          <w:b/>
          <w:bCs/>
          <w:u w:val="single"/>
          <w:lang w:val="et-EE"/>
        </w:rPr>
        <w:t>Maamaksumäärade kehtestamine</w:t>
      </w:r>
      <w:r>
        <w:rPr>
          <w:b/>
          <w:bCs/>
          <w:u w:val="single"/>
          <w:lang w:val="et-EE"/>
        </w:rPr>
        <w:t xml:space="preserve"> 2024. aastaks</w:t>
      </w:r>
    </w:p>
    <w:p w14:paraId="5E93B3C3" w14:textId="77777777" w:rsidR="001F7831" w:rsidRDefault="001F7831" w:rsidP="001F7831">
      <w:pPr>
        <w:spacing w:after="200" w:line="276" w:lineRule="auto"/>
        <w:jc w:val="both"/>
        <w:rPr>
          <w:lang w:val="et-EE"/>
        </w:rPr>
      </w:pPr>
    </w:p>
    <w:p w14:paraId="63641B66" w14:textId="621B482C" w:rsidR="001F7831" w:rsidRDefault="001F7831" w:rsidP="001F7831">
      <w:pPr>
        <w:spacing w:after="200" w:line="276" w:lineRule="auto"/>
        <w:jc w:val="both"/>
        <w:rPr>
          <w:lang w:val="et-EE"/>
        </w:rPr>
      </w:pPr>
      <w:r>
        <w:rPr>
          <w:lang w:val="et-EE"/>
        </w:rPr>
        <w:t>Määruse eelnõu eesmärgiks on kehtestada Mulgi vallas olevatele katastriüksustele uued maamaksumäärad tuleneval maamaksuseaduse muudatusest ja maade korralise hindamise läbiviimisest 2022</w:t>
      </w:r>
      <w:r>
        <w:rPr>
          <w:lang w:val="et-EE"/>
        </w:rPr>
        <w:t>.</w:t>
      </w:r>
      <w:r>
        <w:rPr>
          <w:lang w:val="et-EE"/>
        </w:rPr>
        <w:t xml:space="preserve"> aastal.</w:t>
      </w:r>
      <w:r>
        <w:rPr>
          <w:lang w:val="et-EE"/>
        </w:rPr>
        <w:t xml:space="preserve"> </w:t>
      </w:r>
      <w:r>
        <w:rPr>
          <w:lang w:val="et-EE"/>
        </w:rPr>
        <w:t xml:space="preserve">Maksumäärad hakkavad kehtima alates 2024. aastast. </w:t>
      </w:r>
    </w:p>
    <w:p w14:paraId="127C16E9" w14:textId="534377D9" w:rsidR="001F7831" w:rsidRDefault="001F7831" w:rsidP="001F7831">
      <w:pPr>
        <w:contextualSpacing/>
        <w:jc w:val="both"/>
        <w:rPr>
          <w:lang w:val="et-EE"/>
        </w:rPr>
      </w:pPr>
      <w:r>
        <w:rPr>
          <w:lang w:val="et-EE"/>
        </w:rPr>
        <w:t>2001. aasta maa korralise hindamisel oli valla maade hindamisel arvestatud hinnatsoone ja viljakustsoone, mille alusel arvestati maamaks. Mulgi Vallavolikogu Volikogu poolt oli siiani kehtestanud maamaksumäärad haritaval ja looduslikul maal 2% ja metsa, õue- ja muu maal 2,5 % maa maksustamishinnast aastas. Arvestuskikult on Mulgi vallale laekuva maamaksu suuruseks 2023. aastal 447 064 eur</w:t>
      </w:r>
      <w:r>
        <w:rPr>
          <w:lang w:val="et-EE"/>
        </w:rPr>
        <w:t>ot</w:t>
      </w:r>
    </w:p>
    <w:p w14:paraId="2DFED1F1" w14:textId="77777777" w:rsidR="001F7831" w:rsidRDefault="001F7831" w:rsidP="001F7831">
      <w:pPr>
        <w:spacing w:after="200" w:line="276" w:lineRule="auto"/>
        <w:jc w:val="both"/>
        <w:rPr>
          <w:lang w:val="et-EE"/>
        </w:rPr>
      </w:pPr>
    </w:p>
    <w:p w14:paraId="3D87AFFA" w14:textId="23C8E2F8" w:rsidR="001F7831" w:rsidRDefault="001F7831" w:rsidP="001F7831">
      <w:pPr>
        <w:spacing w:after="200" w:line="276" w:lineRule="auto"/>
        <w:jc w:val="both"/>
        <w:rPr>
          <w:lang w:val="et-EE"/>
        </w:rPr>
      </w:pPr>
      <w:r>
        <w:rPr>
          <w:lang w:val="et-EE"/>
        </w:rPr>
        <w:t xml:space="preserve">Tulenevalt </w:t>
      </w:r>
      <w:bookmarkStart w:id="0" w:name="_Hlk132873346"/>
      <w:r>
        <w:rPr>
          <w:u w:val="single"/>
          <w:lang w:val="et-EE"/>
        </w:rPr>
        <w:t>maamaksuseaduse</w:t>
      </w:r>
      <w:bookmarkEnd w:id="0"/>
      <w:r>
        <w:rPr>
          <w:u w:val="single"/>
          <w:lang w:val="et-EE"/>
        </w:rPr>
        <w:t xml:space="preserve"> 1. juunil 2023. a jõustuva redaktsiooni</w:t>
      </w:r>
      <w:r>
        <w:rPr>
          <w:u w:val="single"/>
          <w:vertAlign w:val="superscript"/>
          <w:lang w:val="et-EE"/>
        </w:rPr>
        <w:footnoteReference w:customMarkFollows="1" w:id="1"/>
        <w:t>[1]</w:t>
      </w:r>
      <w:r>
        <w:rPr>
          <w:u w:val="single"/>
          <w:lang w:val="et-EE"/>
        </w:rPr>
        <w:t>  § 5 lõikest 1 kehtestab kohaliku omavalitsuse volikogu hiljemalt maksustamisaastale eelneva aasta 1. juulil maa sihtotstarbegrupile maamaksumäära</w:t>
      </w:r>
      <w:r>
        <w:rPr>
          <w:lang w:val="et-EE"/>
        </w:rPr>
        <w:t>. Tabelis 1 on toodud praegu kehtivad maksimaalsed maksumäära vahemikud ja alates 2024 aastast uued maksumäära vahemikud (maamaksuseaduse alusel)</w:t>
      </w:r>
    </w:p>
    <w:tbl>
      <w:tblPr>
        <w:tblW w:w="0" w:type="auto"/>
        <w:tblCellMar>
          <w:left w:w="0" w:type="dxa"/>
          <w:right w:w="0" w:type="dxa"/>
        </w:tblCellMar>
        <w:tblLook w:val="04A0" w:firstRow="1" w:lastRow="0" w:firstColumn="1" w:lastColumn="0" w:noHBand="0" w:noVBand="1"/>
      </w:tblPr>
      <w:tblGrid>
        <w:gridCol w:w="3116"/>
        <w:gridCol w:w="2408"/>
        <w:gridCol w:w="2551"/>
      </w:tblGrid>
      <w:tr w:rsidR="001F7831" w14:paraId="43BA2DCB" w14:textId="77777777" w:rsidTr="001F783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76E0AA" w14:textId="77777777" w:rsidR="001F7831" w:rsidRDefault="001F7831">
            <w:pPr>
              <w:spacing w:after="200" w:line="276" w:lineRule="auto"/>
              <w:rPr>
                <w:b/>
                <w:bCs/>
              </w:rPr>
            </w:pPr>
            <w:r>
              <w:rPr>
                <w:b/>
                <w:bCs/>
              </w:rPr>
              <w:t xml:space="preserve">Maa </w:t>
            </w:r>
            <w:proofErr w:type="spellStart"/>
            <w:r>
              <w:rPr>
                <w:b/>
                <w:bCs/>
              </w:rPr>
              <w:t>kõlvik</w:t>
            </w:r>
            <w:proofErr w:type="spellEnd"/>
            <w:r>
              <w:rPr>
                <w:b/>
                <w:bCs/>
              </w:rPr>
              <w:t xml:space="preserve"> </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5A13E" w14:textId="77777777" w:rsidR="001F7831" w:rsidRDefault="001F7831">
            <w:pPr>
              <w:spacing w:after="200" w:line="276" w:lineRule="auto"/>
              <w:rPr>
                <w:b/>
                <w:bCs/>
              </w:rPr>
            </w:pPr>
            <w:proofErr w:type="spellStart"/>
            <w:r>
              <w:rPr>
                <w:b/>
                <w:bCs/>
              </w:rPr>
              <w:t>Kehtiv</w:t>
            </w:r>
            <w:proofErr w:type="spellEnd"/>
            <w:r>
              <w:rPr>
                <w:b/>
                <w:bCs/>
              </w:rPr>
              <w:t xml:space="preserve"> </w:t>
            </w:r>
            <w:proofErr w:type="spellStart"/>
            <w:r>
              <w:rPr>
                <w:b/>
                <w:bCs/>
              </w:rPr>
              <w:t>maksimaalne</w:t>
            </w:r>
            <w:proofErr w:type="spellEnd"/>
            <w:r>
              <w:rPr>
                <w:b/>
                <w:bCs/>
              </w:rPr>
              <w:t xml:space="preserve"> </w:t>
            </w:r>
            <w:proofErr w:type="spellStart"/>
            <w:r>
              <w:rPr>
                <w:b/>
                <w:bCs/>
              </w:rPr>
              <w:t>maamaksumäär</w:t>
            </w:r>
            <w:proofErr w:type="spellEnd"/>
            <w:r>
              <w:rPr>
                <w:b/>
                <w:bCs/>
              </w:rPr>
              <w:t xml:space="preserve">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785F1" w14:textId="77777777" w:rsidR="001F7831" w:rsidRDefault="001F7831">
            <w:pPr>
              <w:spacing w:after="200" w:line="276" w:lineRule="auto"/>
              <w:rPr>
                <w:b/>
                <w:bCs/>
              </w:rPr>
            </w:pPr>
            <w:proofErr w:type="spellStart"/>
            <w:r>
              <w:rPr>
                <w:b/>
                <w:bCs/>
              </w:rPr>
              <w:t>Uus</w:t>
            </w:r>
            <w:proofErr w:type="spellEnd"/>
            <w:r>
              <w:rPr>
                <w:b/>
                <w:bCs/>
              </w:rPr>
              <w:t xml:space="preserve"> </w:t>
            </w:r>
            <w:proofErr w:type="spellStart"/>
            <w:r>
              <w:rPr>
                <w:b/>
                <w:bCs/>
              </w:rPr>
              <w:t>maksimaalne</w:t>
            </w:r>
            <w:proofErr w:type="spellEnd"/>
            <w:r>
              <w:rPr>
                <w:b/>
                <w:bCs/>
              </w:rPr>
              <w:t xml:space="preserve"> </w:t>
            </w:r>
            <w:proofErr w:type="spellStart"/>
            <w:r>
              <w:rPr>
                <w:b/>
                <w:bCs/>
              </w:rPr>
              <w:t>maamaksumäär</w:t>
            </w:r>
            <w:proofErr w:type="spellEnd"/>
          </w:p>
        </w:tc>
      </w:tr>
      <w:tr w:rsidR="001F7831" w14:paraId="74F68711" w14:textId="77777777" w:rsidTr="001F78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B8F69" w14:textId="77777777" w:rsidR="001F7831" w:rsidRPr="001F7831" w:rsidRDefault="001F7831">
            <w:pPr>
              <w:spacing w:after="200" w:line="276" w:lineRule="auto"/>
              <w:rPr>
                <w:lang w:val="nb-NO"/>
              </w:rPr>
            </w:pPr>
            <w:r w:rsidRPr="001F7831">
              <w:rPr>
                <w:lang w:val="nb-NO"/>
              </w:rPr>
              <w:t xml:space="preserve">Elamumaa ja maatulundusmaal olev õuemaa kõlvik </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tcPr>
          <w:p w14:paraId="17399C65" w14:textId="77777777" w:rsidR="001F7831" w:rsidRPr="001F7831" w:rsidRDefault="001F7831">
            <w:pPr>
              <w:spacing w:after="200" w:line="276" w:lineRule="auto"/>
              <w:rPr>
                <w:lang w:val="nb-NO"/>
              </w:rPr>
            </w:pPr>
          </w:p>
          <w:p w14:paraId="18317BBA" w14:textId="77777777" w:rsidR="001F7831" w:rsidRPr="001F7831" w:rsidRDefault="001F7831">
            <w:pPr>
              <w:spacing w:after="200" w:line="276" w:lineRule="auto"/>
              <w:rPr>
                <w:lang w:val="nb-NO"/>
              </w:rPr>
            </w:pPr>
          </w:p>
          <w:p w14:paraId="3D64486A" w14:textId="77777777" w:rsidR="001F7831" w:rsidRDefault="001F7831">
            <w:pPr>
              <w:spacing w:after="200" w:line="276" w:lineRule="auto"/>
            </w:pPr>
            <w:r w:rsidRPr="001F7831">
              <w:rPr>
                <w:lang w:val="nb-NO"/>
              </w:rPr>
              <w:t xml:space="preserve">         </w:t>
            </w:r>
            <w:r>
              <w:t>2,5%</w:t>
            </w:r>
          </w:p>
          <w:p w14:paraId="4B3AED0A" w14:textId="77777777" w:rsidR="001F7831" w:rsidRDefault="001F7831">
            <w:pPr>
              <w:spacing w:after="200" w:line="276" w:lineRule="auto"/>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EA46D01" w14:textId="77777777" w:rsidR="001F7831" w:rsidRDefault="001F7831">
            <w:pPr>
              <w:spacing w:after="200" w:line="276" w:lineRule="auto"/>
            </w:pPr>
            <w:r>
              <w:t>0,5%</w:t>
            </w:r>
          </w:p>
        </w:tc>
      </w:tr>
      <w:tr w:rsidR="001F7831" w14:paraId="31BFB6DB" w14:textId="77777777" w:rsidTr="001F78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890DC" w14:textId="77777777" w:rsidR="001F7831" w:rsidRDefault="001F7831">
            <w:proofErr w:type="spellStart"/>
            <w:r>
              <w:t>Ärimaa</w:t>
            </w:r>
            <w:proofErr w:type="spellEnd"/>
            <w:r>
              <w:t xml:space="preserve">, </w:t>
            </w:r>
            <w:proofErr w:type="spellStart"/>
            <w:r>
              <w:t>tootmismaa</w:t>
            </w:r>
            <w:proofErr w:type="spellEnd"/>
            <w:r>
              <w:t xml:space="preserve"> ja </w:t>
            </w:r>
            <w:proofErr w:type="spellStart"/>
            <w:r>
              <w:t>kõik</w:t>
            </w:r>
            <w:proofErr w:type="spellEnd"/>
            <w:r>
              <w:t xml:space="preserve"> </w:t>
            </w:r>
            <w:proofErr w:type="spellStart"/>
            <w:r>
              <w:t>muu</w:t>
            </w:r>
            <w:proofErr w:type="spellEnd"/>
            <w:r>
              <w:t xml:space="preserve"> </w:t>
            </w:r>
            <w:proofErr w:type="spellStart"/>
            <w:r>
              <w:t>sihtotstarbega</w:t>
            </w:r>
            <w:proofErr w:type="spellEnd"/>
            <w:r>
              <w:t xml:space="preserve"> </w:t>
            </w:r>
            <w:proofErr w:type="spellStart"/>
            <w:r>
              <w:t>kõlvikud</w:t>
            </w:r>
            <w:proofErr w:type="spellEnd"/>
          </w:p>
        </w:tc>
        <w:tc>
          <w:tcPr>
            <w:tcW w:w="0" w:type="auto"/>
            <w:vMerge/>
            <w:tcBorders>
              <w:top w:val="nil"/>
              <w:left w:val="nil"/>
              <w:bottom w:val="single" w:sz="8" w:space="0" w:color="auto"/>
              <w:right w:val="single" w:sz="8" w:space="0" w:color="auto"/>
            </w:tcBorders>
            <w:vAlign w:val="center"/>
            <w:hideMark/>
          </w:tcPr>
          <w:p w14:paraId="4DCA2129" w14:textId="77777777" w:rsidR="001F7831" w:rsidRDefault="001F7831">
            <w:pPr>
              <w:spacing w:after="0"/>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E67088B" w14:textId="77777777" w:rsidR="001F7831" w:rsidRDefault="001F7831">
            <w:pPr>
              <w:spacing w:after="200" w:line="276" w:lineRule="auto"/>
            </w:pPr>
            <w:r>
              <w:t>1%</w:t>
            </w:r>
          </w:p>
        </w:tc>
      </w:tr>
      <w:tr w:rsidR="001F7831" w14:paraId="5FF2B804" w14:textId="77777777" w:rsidTr="001F78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6BACA" w14:textId="77777777" w:rsidR="001F7831" w:rsidRDefault="001F7831">
            <w:pPr>
              <w:spacing w:after="200" w:line="276" w:lineRule="auto"/>
            </w:pPr>
            <w:proofErr w:type="spellStart"/>
            <w:r>
              <w:t>Maatulundusmaa</w:t>
            </w:r>
            <w:proofErr w:type="spellEnd"/>
            <w:r>
              <w:t xml:space="preserve"> </w:t>
            </w:r>
            <w:proofErr w:type="spellStart"/>
            <w:r>
              <w:t>kõik</w:t>
            </w:r>
            <w:proofErr w:type="spellEnd"/>
            <w:r>
              <w:t xml:space="preserve"> </w:t>
            </w:r>
            <w:proofErr w:type="spellStart"/>
            <w:r>
              <w:t>muud</w:t>
            </w:r>
            <w:proofErr w:type="spellEnd"/>
            <w:r>
              <w:t xml:space="preserve"> </w:t>
            </w:r>
            <w:proofErr w:type="spellStart"/>
            <w:r>
              <w:t>kõlvikud</w:t>
            </w:r>
            <w:proofErr w:type="spellEnd"/>
            <w:r>
              <w:t xml:space="preserve"> (</w:t>
            </w:r>
            <w:proofErr w:type="spellStart"/>
            <w:r>
              <w:t>peale</w:t>
            </w:r>
            <w:proofErr w:type="spellEnd"/>
            <w:r>
              <w:t xml:space="preserve"> </w:t>
            </w:r>
            <w:proofErr w:type="spellStart"/>
            <w:r>
              <w:t>õuemaa</w:t>
            </w:r>
            <w:proofErr w:type="spellEnd"/>
            <w:r>
              <w:t xml:space="preserve">) </w:t>
            </w:r>
            <w:proofErr w:type="spellStart"/>
            <w:r>
              <w:t>sh</w:t>
            </w:r>
            <w:proofErr w:type="spellEnd"/>
            <w:r>
              <w:t xml:space="preserve"> </w:t>
            </w:r>
            <w:proofErr w:type="spellStart"/>
            <w:r>
              <w:t>metsamaa</w:t>
            </w:r>
            <w:proofErr w:type="spellEnd"/>
            <w:r>
              <w:t xml:space="preserve"> </w:t>
            </w:r>
            <w:proofErr w:type="spellStart"/>
            <w:r>
              <w:t>kõlvik</w:t>
            </w:r>
            <w:proofErr w:type="spellEnd"/>
            <w:r>
              <w:t xml:space="preserve"> </w:t>
            </w:r>
          </w:p>
        </w:tc>
        <w:tc>
          <w:tcPr>
            <w:tcW w:w="0" w:type="auto"/>
            <w:vMerge/>
            <w:tcBorders>
              <w:top w:val="nil"/>
              <w:left w:val="nil"/>
              <w:bottom w:val="single" w:sz="8" w:space="0" w:color="auto"/>
              <w:right w:val="single" w:sz="8" w:space="0" w:color="auto"/>
            </w:tcBorders>
            <w:vAlign w:val="center"/>
            <w:hideMark/>
          </w:tcPr>
          <w:p w14:paraId="22C898F2" w14:textId="77777777" w:rsidR="001F7831" w:rsidRDefault="001F7831">
            <w:pPr>
              <w:spacing w:after="0"/>
            </w:pPr>
          </w:p>
        </w:tc>
        <w:tc>
          <w:tcPr>
            <w:tcW w:w="2551" w:type="dxa"/>
            <w:vMerge w:val="restart"/>
            <w:tcBorders>
              <w:top w:val="nil"/>
              <w:left w:val="nil"/>
              <w:bottom w:val="single" w:sz="8" w:space="0" w:color="auto"/>
              <w:right w:val="single" w:sz="8" w:space="0" w:color="auto"/>
            </w:tcBorders>
            <w:tcMar>
              <w:top w:w="0" w:type="dxa"/>
              <w:left w:w="108" w:type="dxa"/>
              <w:bottom w:w="0" w:type="dxa"/>
              <w:right w:w="108" w:type="dxa"/>
            </w:tcMar>
          </w:tcPr>
          <w:p w14:paraId="04A05349" w14:textId="77777777" w:rsidR="001F7831" w:rsidRDefault="001F7831">
            <w:pPr>
              <w:spacing w:after="200" w:line="276" w:lineRule="auto"/>
            </w:pPr>
          </w:p>
          <w:p w14:paraId="15A7C30E" w14:textId="77777777" w:rsidR="001F7831" w:rsidRDefault="001F7831">
            <w:pPr>
              <w:spacing w:after="200" w:line="276" w:lineRule="auto"/>
            </w:pPr>
            <w:r>
              <w:t>0,5%</w:t>
            </w:r>
          </w:p>
        </w:tc>
      </w:tr>
      <w:tr w:rsidR="001F7831" w14:paraId="60C632BC" w14:textId="77777777" w:rsidTr="001F78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A59AD" w14:textId="77777777" w:rsidR="001F7831" w:rsidRPr="001F7831" w:rsidRDefault="001F7831">
            <w:pPr>
              <w:spacing w:after="200" w:line="276" w:lineRule="auto"/>
              <w:rPr>
                <w:lang w:val="nb-NO"/>
              </w:rPr>
            </w:pPr>
            <w:r w:rsidRPr="001F7831">
              <w:rPr>
                <w:lang w:val="nb-NO"/>
              </w:rPr>
              <w:t>Haritava maa ja loodusliku rohumaa kõlvikud</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14:paraId="3F9F3516" w14:textId="77777777" w:rsidR="001F7831" w:rsidRDefault="001F7831">
            <w:pPr>
              <w:spacing w:after="200" w:line="276" w:lineRule="auto"/>
            </w:pPr>
            <w:r w:rsidRPr="001F7831">
              <w:rPr>
                <w:lang w:val="nb-NO"/>
              </w:rPr>
              <w:t xml:space="preserve">        </w:t>
            </w:r>
            <w:r>
              <w:t>2,0%</w:t>
            </w:r>
          </w:p>
        </w:tc>
        <w:tc>
          <w:tcPr>
            <w:tcW w:w="0" w:type="auto"/>
            <w:vMerge/>
            <w:tcBorders>
              <w:top w:val="nil"/>
              <w:left w:val="nil"/>
              <w:bottom w:val="single" w:sz="8" w:space="0" w:color="auto"/>
              <w:right w:val="single" w:sz="8" w:space="0" w:color="auto"/>
            </w:tcBorders>
            <w:vAlign w:val="center"/>
            <w:hideMark/>
          </w:tcPr>
          <w:p w14:paraId="59C474EB" w14:textId="77777777" w:rsidR="001F7831" w:rsidRDefault="001F7831">
            <w:pPr>
              <w:spacing w:after="0"/>
            </w:pPr>
          </w:p>
        </w:tc>
      </w:tr>
    </w:tbl>
    <w:p w14:paraId="2E954E8F" w14:textId="77777777" w:rsidR="001F7831" w:rsidRDefault="001F7831" w:rsidP="001F7831">
      <w:pPr>
        <w:spacing w:after="0" w:line="276" w:lineRule="auto"/>
        <w:rPr>
          <w:lang w:val="et-EE"/>
        </w:rPr>
      </w:pPr>
      <w:r>
        <w:rPr>
          <w:lang w:val="et-EE"/>
        </w:rPr>
        <w:t xml:space="preserve">Tabel 1. Praegu kehtivad </w:t>
      </w:r>
      <w:proofErr w:type="spellStart"/>
      <w:r>
        <w:rPr>
          <w:lang w:val="et-EE"/>
        </w:rPr>
        <w:t>maskimaalsed</w:t>
      </w:r>
      <w:proofErr w:type="spellEnd"/>
      <w:r>
        <w:rPr>
          <w:lang w:val="et-EE"/>
        </w:rPr>
        <w:t xml:space="preserve"> </w:t>
      </w:r>
      <w:proofErr w:type="spellStart"/>
      <w:r>
        <w:rPr>
          <w:lang w:val="et-EE"/>
        </w:rPr>
        <w:t>maamakumäärad</w:t>
      </w:r>
      <w:proofErr w:type="spellEnd"/>
      <w:r>
        <w:rPr>
          <w:lang w:val="et-EE"/>
        </w:rPr>
        <w:t xml:space="preserve"> ja 2024. aastast kehivad  maamaksumäärad</w:t>
      </w:r>
    </w:p>
    <w:p w14:paraId="30F38BE2" w14:textId="77777777" w:rsidR="001F7831" w:rsidRDefault="001F7831" w:rsidP="001F7831">
      <w:pPr>
        <w:contextualSpacing/>
        <w:jc w:val="both"/>
        <w:rPr>
          <w:lang w:val="et-EE"/>
        </w:rPr>
      </w:pPr>
    </w:p>
    <w:p w14:paraId="1AF68CEF" w14:textId="77777777" w:rsidR="001F7831" w:rsidRDefault="001F7831" w:rsidP="001F7831">
      <w:pPr>
        <w:contextualSpacing/>
        <w:jc w:val="both"/>
        <w:rPr>
          <w:lang w:val="et-EE"/>
        </w:rPr>
      </w:pPr>
    </w:p>
    <w:p w14:paraId="0A4A1EF8" w14:textId="77777777" w:rsidR="001F7831" w:rsidRDefault="001F7831" w:rsidP="001F7831">
      <w:pPr>
        <w:contextualSpacing/>
        <w:jc w:val="both"/>
        <w:rPr>
          <w:lang w:val="et-EE"/>
        </w:rPr>
      </w:pPr>
      <w:r>
        <w:rPr>
          <w:lang w:val="et-EE"/>
        </w:rPr>
        <w:lastRenderedPageBreak/>
        <w:t xml:space="preserve">Uue 2022. a hindamise puhul on tegemist turupõhise hindamisega, kasutades korralisel hindamisel masshindamise mudeleid, mille tulemusel on määratud igale katastriüksusele väärtus. St. korralise hindamise puhul on tegemist turupõhise hindamisega ja maa </w:t>
      </w:r>
      <w:r>
        <w:rPr>
          <w:color w:val="34394C"/>
          <w:sz w:val="21"/>
          <w:szCs w:val="21"/>
          <w:lang w:val="et-EE" w:eastAsia="et-EE"/>
        </w:rPr>
        <w:t xml:space="preserve">hindamisel ei ole tsoone määratud. </w:t>
      </w:r>
      <w:r>
        <w:rPr>
          <w:lang w:val="et-EE"/>
        </w:rPr>
        <w:t xml:space="preserve">Maa korralise hindamise tulemused annavad maaomanikule ülevaate maa hetkeväärtusest ning võimaluse kasutada väärtust orientiirina müügi- või ostuhinna kujundamisel. </w:t>
      </w:r>
    </w:p>
    <w:p w14:paraId="5892B69B" w14:textId="77777777" w:rsidR="001F7831" w:rsidRDefault="001F7831" w:rsidP="001F7831">
      <w:pPr>
        <w:contextualSpacing/>
        <w:jc w:val="both"/>
        <w:rPr>
          <w:lang w:val="et-EE"/>
        </w:rPr>
      </w:pPr>
      <w:r>
        <w:rPr>
          <w:lang w:val="et-EE"/>
        </w:rPr>
        <w:t xml:space="preserve">Maa maksustamishinnad on kättesaadavad Maa-ameti veebilehelt </w:t>
      </w:r>
      <w:hyperlink r:id="rId6" w:history="1">
        <w:r>
          <w:rPr>
            <w:rStyle w:val="Hperlink"/>
            <w:lang w:val="et-EE"/>
          </w:rPr>
          <w:t>https://minu.kataster.ee/</w:t>
        </w:r>
      </w:hyperlink>
      <w:r>
        <w:rPr>
          <w:lang w:val="et-EE"/>
        </w:rPr>
        <w:t xml:space="preserve">. </w:t>
      </w:r>
    </w:p>
    <w:p w14:paraId="0F744016" w14:textId="77777777" w:rsidR="001F7831" w:rsidRDefault="001F7831" w:rsidP="001F7831">
      <w:pPr>
        <w:contextualSpacing/>
        <w:jc w:val="both"/>
        <w:rPr>
          <w:lang w:val="et-EE"/>
        </w:rPr>
      </w:pPr>
    </w:p>
    <w:p w14:paraId="79CB556B" w14:textId="77777777" w:rsidR="001F7831" w:rsidRDefault="001F7831" w:rsidP="001F7831">
      <w:pPr>
        <w:spacing w:after="0"/>
        <w:jc w:val="both"/>
        <w:rPr>
          <w:lang w:val="et-EE"/>
        </w:rPr>
      </w:pPr>
      <w:r>
        <w:rPr>
          <w:lang w:val="et-EE"/>
        </w:rPr>
        <w:t xml:space="preserve">Maade maksustamishinnad on tõusnud hindamise järgselt turutasemele, Mulgi vallas kohati isegi 49 korda ja seda just suuremate põllumaa katastriüksuste puhul. (nt kuni 2023 a oli maa maksustamishind Umbsoo külas </w:t>
      </w:r>
      <w:proofErr w:type="spellStart"/>
      <w:r>
        <w:rPr>
          <w:lang w:val="et-EE"/>
        </w:rPr>
        <w:t>Pera</w:t>
      </w:r>
      <w:proofErr w:type="spellEnd"/>
      <w:r>
        <w:rPr>
          <w:lang w:val="et-EE"/>
        </w:rPr>
        <w:t xml:space="preserve"> katastritunnusel 7900, alates 2024. aastast 386192). Seni kehtinud maamaksumäärade rakendamine ei ole võimalik, kuna sellised maksumäärad võivad tuua kaasa liiga suure maamaksu koormuse. Selle vältimiseks on </w:t>
      </w:r>
      <w:proofErr w:type="spellStart"/>
      <w:r>
        <w:rPr>
          <w:lang w:val="et-EE"/>
        </w:rPr>
        <w:t>MaaMS</w:t>
      </w:r>
      <w:proofErr w:type="spellEnd"/>
      <w:r>
        <w:rPr>
          <w:lang w:val="et-EE"/>
        </w:rPr>
        <w:t xml:space="preserve"> § 5 lõike 1 kohaselt maksimaalseid lubatud maamaksumäärasid võrreldes praegu kehtivatega vähendatud. </w:t>
      </w:r>
    </w:p>
    <w:p w14:paraId="0898EA60" w14:textId="77777777" w:rsidR="001F7831" w:rsidRDefault="001F7831" w:rsidP="001F7831">
      <w:pPr>
        <w:spacing w:after="0"/>
        <w:jc w:val="both"/>
        <w:rPr>
          <w:lang w:val="et-EE"/>
        </w:rPr>
      </w:pPr>
    </w:p>
    <w:p w14:paraId="6D642C21" w14:textId="77777777" w:rsidR="001F7831" w:rsidRDefault="001F7831" w:rsidP="001F7831">
      <w:pPr>
        <w:spacing w:after="0"/>
        <w:jc w:val="both"/>
        <w:rPr>
          <w:lang w:val="et-EE"/>
        </w:rPr>
      </w:pPr>
      <w:r>
        <w:rPr>
          <w:lang w:val="et-EE"/>
        </w:rPr>
        <w:t xml:space="preserve">Oluline muudatus </w:t>
      </w:r>
      <w:proofErr w:type="spellStart"/>
      <w:r>
        <w:rPr>
          <w:lang w:val="et-EE"/>
        </w:rPr>
        <w:t>MaaMS</w:t>
      </w:r>
      <w:proofErr w:type="spellEnd"/>
      <w:r>
        <w:rPr>
          <w:lang w:val="et-EE"/>
        </w:rPr>
        <w:t xml:space="preserve"> on §</w:t>
      </w:r>
      <w:r>
        <w:rPr>
          <w:vertAlign w:val="superscript"/>
          <w:lang w:val="et-EE"/>
        </w:rPr>
        <w:t xml:space="preserve"> </w:t>
      </w:r>
      <w:r>
        <w:rPr>
          <w:lang w:val="et-EE"/>
        </w:rPr>
        <w:t>8</w:t>
      </w:r>
      <w:r>
        <w:rPr>
          <w:vertAlign w:val="superscript"/>
          <w:lang w:val="et-EE"/>
        </w:rPr>
        <w:t xml:space="preserve">1 </w:t>
      </w:r>
      <w:r>
        <w:rPr>
          <w:lang w:val="et-EE"/>
        </w:rPr>
        <w:t>lisamine, mis jõustub 1. jaanuaril 2024. a. Muudatusega on loodud kaitsemehhanism, mis kaitseb maksumaksjaid maamaksu järsu tõusu eest.</w:t>
      </w:r>
    </w:p>
    <w:p w14:paraId="36FDE43A" w14:textId="77777777" w:rsidR="001F7831" w:rsidRDefault="001F7831" w:rsidP="001F7831">
      <w:pPr>
        <w:spacing w:after="200" w:line="276" w:lineRule="auto"/>
        <w:jc w:val="both"/>
        <w:rPr>
          <w:rFonts w:ascii="Calibri" w:hAnsi="Calibri" w:cs="Calibri"/>
          <w:sz w:val="22"/>
          <w:szCs w:val="22"/>
          <w:lang w:val="et-EE"/>
        </w:rPr>
      </w:pPr>
      <w:r>
        <w:rPr>
          <w:color w:val="000000"/>
          <w:lang w:val="et-EE"/>
        </w:rPr>
        <w:t xml:space="preserve">Maamaksuseaduses on seatud kasvupiirang 10% maamaksu aastasele tõusule  st </w:t>
      </w:r>
      <w:r>
        <w:rPr>
          <w:b/>
          <w:bCs/>
          <w:lang w:val="et-EE"/>
        </w:rPr>
        <w:t>maaomaniku jaoks ei saa maamaks olla suurem kui 10%, võrreldes eelmise aastaga v.a juhul kui muutuvad maa parameetrid nagu maa suurus jagamisel, liitmisel või muutub sihtostarve.</w:t>
      </w:r>
    </w:p>
    <w:p w14:paraId="452950D3" w14:textId="77777777" w:rsidR="001F7831" w:rsidRDefault="001F7831" w:rsidP="001F7831">
      <w:pPr>
        <w:spacing w:after="200" w:line="276" w:lineRule="auto"/>
        <w:rPr>
          <w:lang w:val="et-EE"/>
        </w:rPr>
      </w:pPr>
      <w:r>
        <w:rPr>
          <w:lang w:val="et-EE"/>
        </w:rPr>
        <w:t xml:space="preserve">Tabelis 2 on toodud kolme järjestikuse aasta maamaksu tõusu näide, milliseks võib kujuneda maamaks (nö. </w:t>
      </w:r>
      <w:proofErr w:type="spellStart"/>
      <w:r>
        <w:rPr>
          <w:lang w:val="et-EE"/>
        </w:rPr>
        <w:t>kaitsemehanism</w:t>
      </w:r>
      <w:proofErr w:type="spellEnd"/>
      <w:r>
        <w:rPr>
          <w:lang w:val="et-EE"/>
        </w:rPr>
        <w:t xml:space="preserve"> kuni 10% tõus). </w:t>
      </w:r>
      <w:r>
        <w:rPr>
          <w:color w:val="000000"/>
          <w:lang w:val="et-EE"/>
        </w:rPr>
        <w:t>Näide, kui 2023 a. on maamaksu suurus on 320 EUR, siis nn. kaitsemehhanismi tõttu on järgnevate aastate maamaks (kui maa suurus ja sihtostarve jäävad samaks) järgmine:</w:t>
      </w:r>
    </w:p>
    <w:tbl>
      <w:tblPr>
        <w:tblW w:w="7809" w:type="dxa"/>
        <w:tblCellMar>
          <w:left w:w="0" w:type="dxa"/>
          <w:right w:w="0" w:type="dxa"/>
        </w:tblCellMar>
        <w:tblLook w:val="04A0" w:firstRow="1" w:lastRow="0" w:firstColumn="1" w:lastColumn="0" w:noHBand="0" w:noVBand="1"/>
      </w:tblPr>
      <w:tblGrid>
        <w:gridCol w:w="2139"/>
        <w:gridCol w:w="2976"/>
        <w:gridCol w:w="2694"/>
      </w:tblGrid>
      <w:tr w:rsidR="001F7831" w14:paraId="07CC608E" w14:textId="77777777" w:rsidTr="001F7831">
        <w:trPr>
          <w:trHeight w:val="801"/>
        </w:trPr>
        <w:tc>
          <w:tcPr>
            <w:tcW w:w="2139" w:type="dxa"/>
            <w:tcBorders>
              <w:top w:val="single" w:sz="8" w:space="0" w:color="FFFFFF"/>
              <w:left w:val="single" w:sz="8" w:space="0" w:color="FFFFFF"/>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5D0E7AA1" w14:textId="77777777" w:rsidR="001F7831" w:rsidRDefault="001F7831">
            <w:pPr>
              <w:spacing w:after="0" w:line="252" w:lineRule="auto"/>
              <w:jc w:val="right"/>
              <w:textAlignment w:val="bottom"/>
              <w:rPr>
                <w:b/>
                <w:bCs/>
                <w:lang w:eastAsia="et-EE"/>
              </w:rPr>
            </w:pPr>
            <w:proofErr w:type="spellStart"/>
            <w:r>
              <w:rPr>
                <w:b/>
                <w:bCs/>
                <w:color w:val="000000"/>
                <w:lang w:eastAsia="et-EE"/>
              </w:rPr>
              <w:t>Maamaksu</w:t>
            </w:r>
            <w:proofErr w:type="spellEnd"/>
            <w:r>
              <w:rPr>
                <w:b/>
                <w:bCs/>
                <w:color w:val="000000"/>
                <w:lang w:eastAsia="et-EE"/>
              </w:rPr>
              <w:t xml:space="preserve"> </w:t>
            </w:r>
            <w:proofErr w:type="spellStart"/>
            <w:r>
              <w:rPr>
                <w:b/>
                <w:bCs/>
                <w:color w:val="000000"/>
                <w:lang w:eastAsia="et-EE"/>
              </w:rPr>
              <w:t>aasta</w:t>
            </w:r>
            <w:proofErr w:type="spellEnd"/>
          </w:p>
        </w:tc>
        <w:tc>
          <w:tcPr>
            <w:tcW w:w="2976" w:type="dxa"/>
            <w:tcBorders>
              <w:top w:val="single" w:sz="8" w:space="0" w:color="FFFFFF"/>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0F835360" w14:textId="77777777" w:rsidR="001F7831" w:rsidRDefault="001F7831">
            <w:pPr>
              <w:spacing w:after="0" w:line="252" w:lineRule="auto"/>
              <w:jc w:val="right"/>
              <w:textAlignment w:val="bottom"/>
              <w:rPr>
                <w:b/>
                <w:bCs/>
                <w:lang w:eastAsia="et-EE"/>
              </w:rPr>
            </w:pPr>
            <w:proofErr w:type="spellStart"/>
            <w:r>
              <w:rPr>
                <w:b/>
                <w:bCs/>
                <w:color w:val="000000"/>
                <w:lang w:eastAsia="et-EE"/>
              </w:rPr>
              <w:t>Maamaks</w:t>
            </w:r>
            <w:proofErr w:type="spellEnd"/>
            <w:r>
              <w:rPr>
                <w:b/>
                <w:bCs/>
                <w:color w:val="000000"/>
                <w:lang w:eastAsia="et-EE"/>
              </w:rPr>
              <w:t xml:space="preserve"> +10%</w:t>
            </w:r>
          </w:p>
        </w:tc>
        <w:tc>
          <w:tcPr>
            <w:tcW w:w="2694" w:type="dxa"/>
            <w:tcBorders>
              <w:top w:val="single" w:sz="8" w:space="0" w:color="FFFFFF"/>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3C223808" w14:textId="77777777" w:rsidR="001F7831" w:rsidRDefault="001F7831">
            <w:pPr>
              <w:spacing w:after="0" w:line="252" w:lineRule="auto"/>
              <w:jc w:val="right"/>
              <w:textAlignment w:val="bottom"/>
              <w:rPr>
                <w:b/>
                <w:bCs/>
                <w:lang w:eastAsia="et-EE"/>
              </w:rPr>
            </w:pPr>
            <w:proofErr w:type="spellStart"/>
            <w:r>
              <w:rPr>
                <w:b/>
                <w:bCs/>
                <w:color w:val="000000"/>
                <w:lang w:eastAsia="et-EE"/>
              </w:rPr>
              <w:t>Maamaks</w:t>
            </w:r>
            <w:proofErr w:type="spellEnd"/>
            <w:r>
              <w:rPr>
                <w:b/>
                <w:bCs/>
                <w:color w:val="000000"/>
                <w:lang w:eastAsia="et-EE"/>
              </w:rPr>
              <w:t xml:space="preserve"> </w:t>
            </w:r>
            <w:proofErr w:type="spellStart"/>
            <w:r>
              <w:rPr>
                <w:b/>
                <w:bCs/>
                <w:color w:val="000000"/>
                <w:lang w:eastAsia="et-EE"/>
              </w:rPr>
              <w:t>teatisel</w:t>
            </w:r>
            <w:proofErr w:type="spellEnd"/>
          </w:p>
        </w:tc>
      </w:tr>
      <w:tr w:rsidR="001F7831" w14:paraId="26EC4AF8" w14:textId="77777777" w:rsidTr="001F7831">
        <w:trPr>
          <w:trHeight w:val="814"/>
        </w:trPr>
        <w:tc>
          <w:tcPr>
            <w:tcW w:w="2139" w:type="dxa"/>
            <w:tcBorders>
              <w:top w:val="nil"/>
              <w:left w:val="single" w:sz="8" w:space="0" w:color="FFFFFF"/>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46A0CC4D" w14:textId="77777777" w:rsidR="001F7831" w:rsidRDefault="001F7831">
            <w:pPr>
              <w:spacing w:after="0" w:line="252" w:lineRule="auto"/>
              <w:jc w:val="right"/>
              <w:textAlignment w:val="bottom"/>
              <w:rPr>
                <w:lang w:eastAsia="et-EE"/>
              </w:rPr>
            </w:pPr>
            <w:r>
              <w:rPr>
                <w:color w:val="000000"/>
                <w:lang w:eastAsia="et-EE"/>
              </w:rPr>
              <w:t>2024</w:t>
            </w:r>
          </w:p>
        </w:tc>
        <w:tc>
          <w:tcPr>
            <w:tcW w:w="2976" w:type="dxa"/>
            <w:tcBorders>
              <w:top w:val="nil"/>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21CA7FF7" w14:textId="77777777" w:rsidR="001F7831" w:rsidRDefault="001F7831">
            <w:pPr>
              <w:spacing w:after="0" w:line="252" w:lineRule="auto"/>
              <w:jc w:val="right"/>
              <w:textAlignment w:val="bottom"/>
              <w:rPr>
                <w:lang w:eastAsia="et-EE"/>
              </w:rPr>
            </w:pPr>
            <w:r>
              <w:rPr>
                <w:color w:val="000000"/>
                <w:lang w:eastAsia="et-EE"/>
              </w:rPr>
              <w:t>352,0</w:t>
            </w:r>
          </w:p>
        </w:tc>
        <w:tc>
          <w:tcPr>
            <w:tcW w:w="2694" w:type="dxa"/>
            <w:tcBorders>
              <w:top w:val="nil"/>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709BDFF9" w14:textId="77777777" w:rsidR="001F7831" w:rsidRDefault="001F7831">
            <w:pPr>
              <w:spacing w:after="0" w:line="252" w:lineRule="auto"/>
              <w:jc w:val="right"/>
              <w:textAlignment w:val="bottom"/>
              <w:rPr>
                <w:lang w:eastAsia="et-EE"/>
              </w:rPr>
            </w:pPr>
            <w:r>
              <w:rPr>
                <w:color w:val="000000"/>
                <w:lang w:eastAsia="et-EE"/>
              </w:rPr>
              <w:t>352</w:t>
            </w:r>
          </w:p>
        </w:tc>
      </w:tr>
      <w:tr w:rsidR="001F7831" w14:paraId="20F85412" w14:textId="77777777" w:rsidTr="001F7831">
        <w:trPr>
          <w:trHeight w:val="814"/>
        </w:trPr>
        <w:tc>
          <w:tcPr>
            <w:tcW w:w="2139" w:type="dxa"/>
            <w:tcBorders>
              <w:top w:val="nil"/>
              <w:left w:val="single" w:sz="8" w:space="0" w:color="FFFFFF"/>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5204DB24" w14:textId="77777777" w:rsidR="001F7831" w:rsidRDefault="001F7831">
            <w:pPr>
              <w:spacing w:after="0" w:line="252" w:lineRule="auto"/>
              <w:jc w:val="right"/>
              <w:textAlignment w:val="bottom"/>
              <w:rPr>
                <w:lang w:eastAsia="et-EE"/>
              </w:rPr>
            </w:pPr>
            <w:r>
              <w:rPr>
                <w:color w:val="000000"/>
                <w:lang w:eastAsia="et-EE"/>
              </w:rPr>
              <w:t>2025</w:t>
            </w:r>
          </w:p>
        </w:tc>
        <w:tc>
          <w:tcPr>
            <w:tcW w:w="2976" w:type="dxa"/>
            <w:tcBorders>
              <w:top w:val="nil"/>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1F57E61F" w14:textId="77777777" w:rsidR="001F7831" w:rsidRDefault="001F7831">
            <w:pPr>
              <w:spacing w:after="0" w:line="252" w:lineRule="auto"/>
              <w:jc w:val="right"/>
              <w:textAlignment w:val="bottom"/>
              <w:rPr>
                <w:lang w:eastAsia="et-EE"/>
              </w:rPr>
            </w:pPr>
            <w:r>
              <w:rPr>
                <w:color w:val="000000"/>
                <w:lang w:eastAsia="et-EE"/>
              </w:rPr>
              <w:t>387,2</w:t>
            </w:r>
          </w:p>
        </w:tc>
        <w:tc>
          <w:tcPr>
            <w:tcW w:w="2694" w:type="dxa"/>
            <w:tcBorders>
              <w:top w:val="nil"/>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0A23F846" w14:textId="77777777" w:rsidR="001F7831" w:rsidRDefault="001F7831">
            <w:pPr>
              <w:spacing w:after="0" w:line="252" w:lineRule="auto"/>
              <w:jc w:val="right"/>
              <w:textAlignment w:val="bottom"/>
              <w:rPr>
                <w:lang w:eastAsia="et-EE"/>
              </w:rPr>
            </w:pPr>
            <w:r>
              <w:rPr>
                <w:color w:val="000000"/>
                <w:lang w:eastAsia="et-EE"/>
              </w:rPr>
              <w:t>387,2</w:t>
            </w:r>
          </w:p>
        </w:tc>
      </w:tr>
      <w:tr w:rsidR="001F7831" w14:paraId="1D0045D4" w14:textId="77777777" w:rsidTr="001F7831">
        <w:trPr>
          <w:trHeight w:val="814"/>
        </w:trPr>
        <w:tc>
          <w:tcPr>
            <w:tcW w:w="2139" w:type="dxa"/>
            <w:tcBorders>
              <w:top w:val="nil"/>
              <w:left w:val="single" w:sz="8" w:space="0" w:color="FFFFFF"/>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71BE0AAE" w14:textId="77777777" w:rsidR="001F7831" w:rsidRDefault="001F7831">
            <w:pPr>
              <w:spacing w:after="0" w:line="252" w:lineRule="auto"/>
              <w:jc w:val="right"/>
              <w:textAlignment w:val="bottom"/>
              <w:rPr>
                <w:lang w:eastAsia="et-EE"/>
              </w:rPr>
            </w:pPr>
            <w:r>
              <w:rPr>
                <w:color w:val="000000"/>
                <w:lang w:eastAsia="et-EE"/>
              </w:rPr>
              <w:t>2026</w:t>
            </w:r>
          </w:p>
        </w:tc>
        <w:tc>
          <w:tcPr>
            <w:tcW w:w="2976" w:type="dxa"/>
            <w:tcBorders>
              <w:top w:val="nil"/>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22ACB4BE" w14:textId="77777777" w:rsidR="001F7831" w:rsidRDefault="001F7831">
            <w:pPr>
              <w:spacing w:after="0" w:line="252" w:lineRule="auto"/>
              <w:jc w:val="right"/>
              <w:textAlignment w:val="bottom"/>
              <w:rPr>
                <w:lang w:eastAsia="et-EE"/>
              </w:rPr>
            </w:pPr>
            <w:r>
              <w:rPr>
                <w:color w:val="000000"/>
                <w:lang w:eastAsia="et-EE"/>
              </w:rPr>
              <w:t>425,92</w:t>
            </w:r>
          </w:p>
        </w:tc>
        <w:tc>
          <w:tcPr>
            <w:tcW w:w="2694" w:type="dxa"/>
            <w:tcBorders>
              <w:top w:val="nil"/>
              <w:left w:val="nil"/>
              <w:bottom w:val="single" w:sz="8" w:space="0" w:color="FFFFFF"/>
              <w:right w:val="single" w:sz="8" w:space="0" w:color="FFFFFF"/>
            </w:tcBorders>
            <w:shd w:val="clear" w:color="auto" w:fill="EAEFF7"/>
            <w:tcMar>
              <w:top w:w="12" w:type="dxa"/>
              <w:left w:w="12" w:type="dxa"/>
              <w:bottom w:w="0" w:type="dxa"/>
              <w:right w:w="12" w:type="dxa"/>
            </w:tcMar>
            <w:vAlign w:val="bottom"/>
            <w:hideMark/>
          </w:tcPr>
          <w:p w14:paraId="569E967E" w14:textId="77777777" w:rsidR="001F7831" w:rsidRDefault="001F7831">
            <w:pPr>
              <w:spacing w:after="0" w:line="252" w:lineRule="auto"/>
              <w:jc w:val="right"/>
              <w:textAlignment w:val="bottom"/>
              <w:rPr>
                <w:lang w:eastAsia="et-EE"/>
              </w:rPr>
            </w:pPr>
            <w:r>
              <w:rPr>
                <w:color w:val="000000"/>
                <w:lang w:eastAsia="et-EE"/>
              </w:rPr>
              <w:t>400</w:t>
            </w:r>
          </w:p>
        </w:tc>
      </w:tr>
    </w:tbl>
    <w:p w14:paraId="2E8398A1" w14:textId="77777777" w:rsidR="001F7831" w:rsidRDefault="001F7831" w:rsidP="001F7831">
      <w:pPr>
        <w:spacing w:after="200" w:line="276" w:lineRule="auto"/>
        <w:rPr>
          <w:lang w:val="et-EE"/>
        </w:rPr>
      </w:pPr>
      <w:r>
        <w:rPr>
          <w:lang w:val="et-EE"/>
        </w:rPr>
        <w:t>Tabel 2. Maamaksu muutus 10% maamaksu tõusu korral kolmel järgneval aastal</w:t>
      </w:r>
    </w:p>
    <w:p w14:paraId="09831E53" w14:textId="77777777" w:rsidR="001F7831" w:rsidRDefault="001F7831" w:rsidP="001F7831">
      <w:pPr>
        <w:spacing w:after="0"/>
        <w:jc w:val="both"/>
        <w:rPr>
          <w:lang w:val="et-EE"/>
        </w:rPr>
      </w:pPr>
      <w:r>
        <w:rPr>
          <w:lang w:val="et-EE"/>
        </w:rPr>
        <w:t xml:space="preserve">Kodualuse maa maksuvabastust jääb ka 2024. aastal, st </w:t>
      </w:r>
      <w:r>
        <w:rPr>
          <w:color w:val="202020"/>
          <w:shd w:val="clear" w:color="auto" w:fill="FFFFFF"/>
          <w:lang w:val="et-EE"/>
        </w:rPr>
        <w:t>tiheasustusalal elamumaalt 0,15 ha ja mujal kuni 2,0 ha ulatuses, kui sellel maal asuvas hoones on tema elukoht vastavalt rahvastikuregistrisse kantud elukoha andmetele.</w:t>
      </w:r>
    </w:p>
    <w:p w14:paraId="7B9E9A72" w14:textId="77777777" w:rsidR="001F7831" w:rsidRDefault="001F7831" w:rsidP="001F7831">
      <w:pPr>
        <w:spacing w:after="0"/>
        <w:jc w:val="both"/>
        <w:rPr>
          <w:color w:val="202020"/>
          <w:shd w:val="clear" w:color="auto" w:fill="FFFFFF"/>
          <w:lang w:val="et-EE"/>
        </w:rPr>
      </w:pPr>
    </w:p>
    <w:p w14:paraId="79AE070A" w14:textId="77777777" w:rsidR="001F7831" w:rsidRDefault="001F7831" w:rsidP="001F7831">
      <w:pPr>
        <w:spacing w:after="0"/>
        <w:jc w:val="both"/>
        <w:rPr>
          <w:color w:val="202020"/>
          <w:shd w:val="clear" w:color="auto" w:fill="FFFFFF"/>
          <w:lang w:val="et-EE"/>
        </w:rPr>
      </w:pPr>
    </w:p>
    <w:p w14:paraId="51C0C098" w14:textId="77777777" w:rsidR="001F7831" w:rsidRDefault="001F7831" w:rsidP="001F7831">
      <w:pPr>
        <w:spacing w:after="0"/>
        <w:jc w:val="both"/>
        <w:rPr>
          <w:color w:val="202020"/>
          <w:shd w:val="clear" w:color="auto" w:fill="FFFFFF"/>
          <w:lang w:val="et-EE"/>
        </w:rPr>
      </w:pPr>
    </w:p>
    <w:p w14:paraId="062F14B9" w14:textId="2450FB2D" w:rsidR="001F7831" w:rsidRDefault="001F7831" w:rsidP="001F7831">
      <w:pPr>
        <w:spacing w:after="0"/>
        <w:jc w:val="both"/>
        <w:rPr>
          <w:color w:val="202020"/>
          <w:shd w:val="clear" w:color="auto" w:fill="FFFFFF"/>
          <w:lang w:val="et-EE"/>
        </w:rPr>
      </w:pPr>
      <w:r>
        <w:rPr>
          <w:color w:val="202020"/>
          <w:shd w:val="clear" w:color="auto" w:fill="FFFFFF"/>
          <w:lang w:val="et-EE"/>
        </w:rPr>
        <w:lastRenderedPageBreak/>
        <w:t>Kohaliku omavalitsuse üksus võib vabastuse ulatust suurendada riikliku pensionikindlustuse seaduse alusel pensioni saaja või isiku, kellel on töövõimetoetuse seaduse alusel tuvastatud osaline või puuduv töövõime, tema kasutuses oleva maa, mille sihtotstarve või üks sihtotstarvetest on elamumaa, või maatulundusmaa õuemaa kõlviku eest linnas asustusüksusena, alevis, alevikus ning üldplaneeringuga kohaliku omavalitsuse üksuse poolt või maakonnaplaneeringuga tiheasustusega alaks määratud alal, kui kehtiv üldplaneering puudub, kuni 0,15 hektari ulatuses.</w:t>
      </w:r>
    </w:p>
    <w:p w14:paraId="548DD827" w14:textId="77777777" w:rsidR="001F7831" w:rsidRDefault="001F7831" w:rsidP="001F7831">
      <w:pPr>
        <w:spacing w:after="0"/>
        <w:jc w:val="both"/>
        <w:rPr>
          <w:color w:val="202020"/>
          <w:shd w:val="clear" w:color="auto" w:fill="FFFFFF"/>
          <w:lang w:val="et-EE"/>
        </w:rPr>
      </w:pPr>
    </w:p>
    <w:p w14:paraId="573AA405" w14:textId="7F896252" w:rsidR="001F7831" w:rsidRDefault="001F7831" w:rsidP="001F7831">
      <w:pPr>
        <w:spacing w:after="0"/>
        <w:jc w:val="both"/>
        <w:rPr>
          <w:color w:val="202020"/>
          <w:shd w:val="clear" w:color="auto" w:fill="FFFFFF"/>
          <w:lang w:val="et-EE"/>
        </w:rPr>
      </w:pPr>
      <w:r>
        <w:rPr>
          <w:color w:val="202020"/>
          <w:shd w:val="clear" w:color="auto" w:fill="FFFFFF"/>
          <w:lang w:val="et-EE"/>
        </w:rPr>
        <w:t>Samuti võib kohalik omavalitsus vabastuse ulatust suurendada, vabastades maamaksust represseeritu ja represseerituga võrdsustatud isiku okupatsioonirežiimide poolt represseeritud isiku seaduse tähenduses tema kasutuses oleva maa, mille sihtotstarve või üks sihtotstarvetest on elamumaa, või maatulundusmaa õuemaa kõlviku osa.</w:t>
      </w:r>
    </w:p>
    <w:p w14:paraId="7FB33119" w14:textId="77777777" w:rsidR="001F7831" w:rsidRDefault="001F7831" w:rsidP="001F7831">
      <w:pPr>
        <w:spacing w:after="0"/>
        <w:jc w:val="both"/>
        <w:rPr>
          <w:lang w:val="et-EE"/>
        </w:rPr>
      </w:pPr>
    </w:p>
    <w:p w14:paraId="186F91C2" w14:textId="77777777" w:rsidR="001F7831" w:rsidRDefault="001F7831" w:rsidP="001F7831">
      <w:pPr>
        <w:spacing w:after="0"/>
        <w:jc w:val="both"/>
        <w:rPr>
          <w:color w:val="202020"/>
          <w:shd w:val="clear" w:color="auto" w:fill="FFFFFF"/>
          <w:lang w:val="et-EE"/>
        </w:rPr>
      </w:pPr>
      <w:r>
        <w:rPr>
          <w:color w:val="202020"/>
          <w:shd w:val="clear" w:color="auto" w:fill="FFFFFF"/>
          <w:lang w:val="et-EE"/>
        </w:rPr>
        <w:t xml:space="preserve">Kui maa  on </w:t>
      </w:r>
      <w:proofErr w:type="spellStart"/>
      <w:r>
        <w:rPr>
          <w:color w:val="202020"/>
          <w:shd w:val="clear" w:color="auto" w:fill="FFFFFF"/>
          <w:lang w:val="et-EE"/>
        </w:rPr>
        <w:t>ühis</w:t>
      </w:r>
      <w:proofErr w:type="spellEnd"/>
      <w:r>
        <w:rPr>
          <w:color w:val="202020"/>
          <w:shd w:val="clear" w:color="auto" w:fill="FFFFFF"/>
          <w:lang w:val="et-EE"/>
        </w:rPr>
        <w:t>- või kaasomandis, siis on maksusoodustus koduomanikel kokku kuni 0,15 ha suuruselt maalt.</w:t>
      </w:r>
    </w:p>
    <w:p w14:paraId="0B3774C1" w14:textId="77777777" w:rsidR="001F7831" w:rsidRDefault="001F7831" w:rsidP="001F7831">
      <w:pPr>
        <w:spacing w:after="0"/>
        <w:jc w:val="both"/>
        <w:rPr>
          <w:lang w:val="et-EE"/>
        </w:rPr>
      </w:pPr>
    </w:p>
    <w:p w14:paraId="6986C935" w14:textId="77777777" w:rsidR="001F7831" w:rsidRDefault="001F7831" w:rsidP="001F7831">
      <w:pPr>
        <w:spacing w:after="0" w:line="276" w:lineRule="auto"/>
        <w:ind w:left="426" w:hanging="426"/>
        <w:jc w:val="both"/>
        <w:rPr>
          <w:lang w:val="et-EE"/>
        </w:rPr>
      </w:pPr>
      <w:r>
        <w:rPr>
          <w:lang w:val="et-EE"/>
        </w:rPr>
        <w:t xml:space="preserve">Ettepanek: Kehtestada Mulgi vallas maa maksustamishinnad 2024. aastaks: </w:t>
      </w:r>
    </w:p>
    <w:p w14:paraId="72E1DFD3" w14:textId="77777777" w:rsidR="001F7831" w:rsidRDefault="001F7831" w:rsidP="001F7831">
      <w:pPr>
        <w:spacing w:after="0" w:line="276" w:lineRule="auto"/>
        <w:ind w:left="426" w:hanging="426"/>
        <w:jc w:val="both"/>
        <w:rPr>
          <w:lang w:val="et-EE"/>
        </w:rPr>
      </w:pPr>
      <w:r>
        <w:rPr>
          <w:lang w:val="et-EE"/>
        </w:rPr>
        <w:t>1) elamumaa sihtotstarbega maale ja maatulundusmaa õuemaa kõlvikule maamaksumäär 0,5 protsenti maa maksustamishinnast aastas;</w:t>
      </w:r>
    </w:p>
    <w:p w14:paraId="5E549F3B" w14:textId="77777777" w:rsidR="001F7831" w:rsidRDefault="001F7831" w:rsidP="001F7831">
      <w:pPr>
        <w:spacing w:after="0" w:line="276" w:lineRule="auto"/>
        <w:ind w:left="426" w:hanging="426"/>
        <w:jc w:val="both"/>
        <w:rPr>
          <w:lang w:val="et-EE"/>
        </w:rPr>
      </w:pPr>
      <w:r>
        <w:rPr>
          <w:lang w:val="et-EE"/>
        </w:rPr>
        <w:t>2) punktis 1 nimetamata maatulundusmaa sihtotstarbega maale maamaksumäär 0,5 protsenti maa maksustamishinnast aastas;</w:t>
      </w:r>
    </w:p>
    <w:p w14:paraId="6F6D84C1" w14:textId="77777777" w:rsidR="001F7831" w:rsidRDefault="001F7831" w:rsidP="001F7831">
      <w:pPr>
        <w:spacing w:after="0" w:line="276" w:lineRule="auto"/>
        <w:ind w:left="426" w:hanging="426"/>
        <w:jc w:val="both"/>
        <w:rPr>
          <w:lang w:val="et-EE"/>
        </w:rPr>
      </w:pPr>
      <w:r>
        <w:rPr>
          <w:lang w:val="et-EE"/>
        </w:rPr>
        <w:t>3) punktides 1 ja 2 nimetamata sihtotstarbega maale maamaksumäär 1,0 protsenti maa maksustamishinnast aastas.</w:t>
      </w:r>
    </w:p>
    <w:p w14:paraId="578AD6A6" w14:textId="77777777" w:rsidR="001F7831" w:rsidRDefault="001F7831" w:rsidP="001F7831">
      <w:pPr>
        <w:spacing w:after="0" w:line="276" w:lineRule="auto"/>
        <w:jc w:val="both"/>
        <w:rPr>
          <w:lang w:val="et-EE"/>
        </w:rPr>
      </w:pPr>
    </w:p>
    <w:p w14:paraId="045985EF" w14:textId="77777777" w:rsidR="001F7831" w:rsidRDefault="001F7831" w:rsidP="001F7831">
      <w:pPr>
        <w:spacing w:after="0"/>
        <w:rPr>
          <w:i/>
          <w:iCs/>
          <w:lang w:val="et-EE"/>
        </w:rPr>
      </w:pPr>
      <w:r>
        <w:rPr>
          <w:lang w:val="et-EE"/>
        </w:rPr>
        <w:t>Vallavolikogu määruse eelnõu: „</w:t>
      </w:r>
      <w:r>
        <w:rPr>
          <w:i/>
          <w:iCs/>
          <w:lang w:val="et-EE"/>
        </w:rPr>
        <w:t>Maamaksumäärade kehtestamine“</w:t>
      </w:r>
    </w:p>
    <w:p w14:paraId="7973DD50" w14:textId="77777777" w:rsidR="001F7831" w:rsidRDefault="001F7831" w:rsidP="001F7831">
      <w:pPr>
        <w:spacing w:after="0"/>
        <w:jc w:val="both"/>
        <w:rPr>
          <w:lang w:val="et-EE"/>
        </w:rPr>
      </w:pPr>
    </w:p>
    <w:p w14:paraId="6CFE4ECE" w14:textId="77777777" w:rsidR="001F7831" w:rsidRDefault="001F7831" w:rsidP="001F7831">
      <w:pPr>
        <w:rPr>
          <w:rFonts w:ascii="Calibri" w:hAnsi="Calibri" w:cs="Calibri"/>
          <w:sz w:val="22"/>
          <w:szCs w:val="22"/>
          <w:lang w:val="et-EE"/>
        </w:rPr>
      </w:pPr>
    </w:p>
    <w:p w14:paraId="732221B4" w14:textId="77777777" w:rsidR="001F7831" w:rsidRDefault="001F7831" w:rsidP="001F7831">
      <w:pPr>
        <w:spacing w:after="0"/>
        <w:rPr>
          <w:rFonts w:ascii="Calibri" w:eastAsia="Times New Roman" w:hAnsi="Calibri" w:cs="Calibri"/>
          <w:sz w:val="22"/>
          <w:szCs w:val="22"/>
          <w:lang w:val="et-EE"/>
        </w:rPr>
      </w:pPr>
      <w:r>
        <w:rPr>
          <w:rFonts w:ascii="Calibri" w:eastAsia="Times New Roman" w:hAnsi="Calibri" w:cs="Calibri"/>
          <w:sz w:val="22"/>
          <w:szCs w:val="22"/>
          <w:lang w:val="et-EE"/>
        </w:rPr>
        <w:br w:type="textWrapping" w:clear="all"/>
      </w:r>
    </w:p>
    <w:p w14:paraId="4E22F09F" w14:textId="77777777" w:rsidR="00983CF6" w:rsidRPr="001F7831" w:rsidRDefault="00983CF6">
      <w:pPr>
        <w:rPr>
          <w:lang w:val="et-EE"/>
        </w:rPr>
      </w:pPr>
    </w:p>
    <w:sectPr w:rsidR="00983CF6" w:rsidRPr="001F7831" w:rsidSect="001F78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1DE0" w14:textId="77777777" w:rsidR="001F7831" w:rsidRDefault="001F7831" w:rsidP="001F7831">
      <w:pPr>
        <w:spacing w:after="0"/>
      </w:pPr>
      <w:r>
        <w:separator/>
      </w:r>
    </w:p>
  </w:endnote>
  <w:endnote w:type="continuationSeparator" w:id="0">
    <w:p w14:paraId="37790181" w14:textId="77777777" w:rsidR="001F7831" w:rsidRDefault="001F7831" w:rsidP="001F7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A0CE" w14:textId="77777777" w:rsidR="001F7831" w:rsidRDefault="001F7831" w:rsidP="001F7831">
      <w:pPr>
        <w:spacing w:after="0"/>
      </w:pPr>
      <w:r>
        <w:separator/>
      </w:r>
    </w:p>
  </w:footnote>
  <w:footnote w:type="continuationSeparator" w:id="0">
    <w:p w14:paraId="6B99EF6B" w14:textId="77777777" w:rsidR="001F7831" w:rsidRDefault="001F7831" w:rsidP="001F7831">
      <w:pPr>
        <w:spacing w:after="0"/>
      </w:pPr>
      <w:r>
        <w:continuationSeparator/>
      </w:r>
    </w:p>
  </w:footnote>
  <w:footnote w:id="1">
    <w:p w14:paraId="7F73F3BE" w14:textId="77777777" w:rsidR="001F7831" w:rsidRDefault="001F7831" w:rsidP="001F7831">
      <w:pPr>
        <w:pStyle w:val="Allmrkusetekst"/>
        <w:rPr>
          <w:lang w:val="et-E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31"/>
    <w:rsid w:val="001F7831"/>
    <w:rsid w:val="0098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C1C3"/>
  <w15:chartTrackingRefBased/>
  <w15:docId w15:val="{DEE0F594-87A1-4BA1-9D64-F950CA2C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F7831"/>
    <w:pPr>
      <w:spacing w:after="240" w:line="240" w:lineRule="auto"/>
    </w:pPr>
    <w:rPr>
      <w:rFonts w:ascii="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F7831"/>
    <w:rPr>
      <w:color w:val="0563C1"/>
      <w:u w:val="single"/>
    </w:rPr>
  </w:style>
  <w:style w:type="paragraph" w:styleId="Allmrkusetekst">
    <w:name w:val="footnote text"/>
    <w:basedOn w:val="Normaallaad"/>
    <w:link w:val="AllmrkusetekstMrk"/>
    <w:uiPriority w:val="99"/>
    <w:semiHidden/>
    <w:unhideWhenUsed/>
    <w:rsid w:val="001F7831"/>
    <w:pPr>
      <w:spacing w:after="0"/>
    </w:pPr>
    <w:rPr>
      <w:sz w:val="20"/>
      <w:szCs w:val="20"/>
    </w:rPr>
  </w:style>
  <w:style w:type="character" w:customStyle="1" w:styleId="AllmrkusetekstMrk">
    <w:name w:val="Allmärkuse tekst Märk"/>
    <w:basedOn w:val="Liguvaikefont"/>
    <w:link w:val="Allmrkusetekst"/>
    <w:uiPriority w:val="99"/>
    <w:semiHidden/>
    <w:rsid w:val="001F783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u.kataster.e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1</cp:revision>
  <dcterms:created xsi:type="dcterms:W3CDTF">2023-06-13T08:42:00Z</dcterms:created>
  <dcterms:modified xsi:type="dcterms:W3CDTF">2023-06-13T08:47:00Z</dcterms:modified>
</cp:coreProperties>
</file>